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73C43">
      <w:pPr>
        <w:jc w:val="center"/>
        <w:rPr>
          <w:rFonts w:hint="eastAsia" w:ascii="黑体" w:hAnsi="黑体" w:eastAsia="黑体" w:cs="黑体"/>
          <w:sz w:val="44"/>
          <w:szCs w:val="44"/>
          <w:lang w:val="en-US" w:eastAsia="zh-CN"/>
        </w:rPr>
      </w:pPr>
    </w:p>
    <w:p w14:paraId="2D530E00">
      <w:pPr>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赤峰市妇幼保健院</w:t>
      </w:r>
    </w:p>
    <w:p w14:paraId="3455370B">
      <w:pPr>
        <w:spacing w:line="720" w:lineRule="auto"/>
        <w:jc w:val="center"/>
        <w:rPr>
          <w:rFonts w:ascii="黑体" w:hAnsi="黑体" w:eastAsia="黑体" w:cs="黑体"/>
          <w:sz w:val="48"/>
          <w:szCs w:val="48"/>
        </w:rPr>
      </w:pPr>
      <w:r>
        <w:rPr>
          <w:rFonts w:hint="eastAsia" w:ascii="黑体" w:hAnsi="黑体" w:eastAsia="黑体" w:cs="黑体"/>
          <w:sz w:val="44"/>
          <w:szCs w:val="44"/>
        </w:rPr>
        <w:t>审计服务项目院内</w:t>
      </w:r>
      <w:r>
        <w:rPr>
          <w:rFonts w:hint="eastAsia" w:ascii="黑体" w:hAnsi="黑体" w:eastAsia="黑体" w:cs="黑体"/>
          <w:sz w:val="44"/>
          <w:szCs w:val="44"/>
          <w:lang w:val="en-US" w:eastAsia="zh-CN"/>
        </w:rPr>
        <w:t>磋商</w:t>
      </w:r>
      <w:r>
        <w:rPr>
          <w:rFonts w:hint="eastAsia" w:ascii="黑体" w:hAnsi="黑体" w:eastAsia="黑体" w:cs="黑体"/>
          <w:sz w:val="44"/>
          <w:szCs w:val="44"/>
        </w:rPr>
        <w:t>文件</w:t>
      </w:r>
    </w:p>
    <w:p w14:paraId="63D860EB"/>
    <w:p w14:paraId="7BBDDA97"/>
    <w:p w14:paraId="07AF0EF3"/>
    <w:p w14:paraId="6265265A"/>
    <w:p w14:paraId="3D8DCB67"/>
    <w:p w14:paraId="327F13B3"/>
    <w:p w14:paraId="134FCEA9">
      <w:pPr>
        <w:pStyle w:val="4"/>
        <w:ind w:firstLine="480"/>
      </w:pPr>
    </w:p>
    <w:p w14:paraId="37166BDE">
      <w:pPr>
        <w:pStyle w:val="4"/>
        <w:ind w:firstLine="480"/>
      </w:pPr>
    </w:p>
    <w:p w14:paraId="55CE9AF1">
      <w:pPr>
        <w:pStyle w:val="4"/>
        <w:ind w:firstLine="480"/>
      </w:pPr>
    </w:p>
    <w:p w14:paraId="1C207200">
      <w:pPr>
        <w:pStyle w:val="4"/>
        <w:ind w:firstLine="480"/>
      </w:pPr>
    </w:p>
    <w:p w14:paraId="7F0AC269"/>
    <w:p w14:paraId="60F06314"/>
    <w:p w14:paraId="5C5B295A"/>
    <w:p w14:paraId="5D8C4E0F">
      <w:pPr>
        <w:pStyle w:val="6"/>
      </w:pPr>
    </w:p>
    <w:p w14:paraId="442CF99C">
      <w:pPr>
        <w:pStyle w:val="7"/>
      </w:pPr>
    </w:p>
    <w:p w14:paraId="7D1BC13E">
      <w:pPr>
        <w:pStyle w:val="8"/>
      </w:pPr>
    </w:p>
    <w:p w14:paraId="66CDCDBC"/>
    <w:p w14:paraId="7E689E1F">
      <w:pPr>
        <w:pStyle w:val="6"/>
      </w:pPr>
    </w:p>
    <w:p w14:paraId="147672D9">
      <w:pPr>
        <w:pStyle w:val="7"/>
      </w:pPr>
    </w:p>
    <w:p w14:paraId="28BA8A01"/>
    <w:p w14:paraId="629E507F">
      <w:pPr>
        <w:jc w:val="center"/>
        <w:rPr>
          <w:b/>
          <w:bCs/>
        </w:rPr>
      </w:pPr>
    </w:p>
    <w:p w14:paraId="647097F5">
      <w:pPr>
        <w:wordWrap w:val="0"/>
        <w:spacing w:line="360" w:lineRule="auto"/>
        <w:ind w:right="482"/>
        <w:jc w:val="center"/>
        <w:rPr>
          <w:rFonts w:hint="eastAsia" w:cs="宋体"/>
          <w:b/>
          <w:bCs/>
          <w:kern w:val="0"/>
          <w:sz w:val="36"/>
          <w:szCs w:val="36"/>
          <w:highlight w:val="none"/>
          <w:lang w:eastAsia="zh-CN"/>
        </w:rPr>
      </w:pPr>
      <w:r>
        <w:rPr>
          <w:rFonts w:hint="eastAsia" w:ascii="宋体" w:hAnsi="宋体" w:eastAsia="宋体" w:cs="宋体"/>
          <w:b/>
          <w:bCs/>
          <w:kern w:val="0"/>
          <w:sz w:val="36"/>
          <w:szCs w:val="36"/>
          <w:highlight w:val="none"/>
        </w:rPr>
        <w:t>采购单位</w:t>
      </w:r>
      <w:r>
        <w:rPr>
          <w:rFonts w:hint="eastAsia" w:cs="宋体"/>
          <w:b/>
          <w:bCs/>
          <w:kern w:val="0"/>
          <w:sz w:val="36"/>
          <w:szCs w:val="36"/>
          <w:highlight w:val="none"/>
          <w:lang w:val="en-US" w:eastAsia="zh-CN"/>
        </w:rPr>
        <w:t>名称</w:t>
      </w:r>
      <w:r>
        <w:rPr>
          <w:rFonts w:hint="eastAsia" w:ascii="宋体" w:hAnsi="宋体" w:eastAsia="宋体" w:cs="宋体"/>
          <w:b/>
          <w:bCs/>
          <w:kern w:val="0"/>
          <w:sz w:val="36"/>
          <w:szCs w:val="36"/>
          <w:highlight w:val="none"/>
        </w:rPr>
        <w:t>：</w:t>
      </w:r>
      <w:r>
        <w:rPr>
          <w:rFonts w:hint="eastAsia" w:cs="宋体"/>
          <w:b/>
          <w:bCs/>
          <w:kern w:val="0"/>
          <w:sz w:val="36"/>
          <w:szCs w:val="36"/>
          <w:highlight w:val="none"/>
          <w:lang w:eastAsia="zh-CN"/>
        </w:rPr>
        <w:t>赤峰市妇幼保健院</w:t>
      </w:r>
    </w:p>
    <w:p w14:paraId="6DBD1707">
      <w:pPr>
        <w:pStyle w:val="4"/>
        <w:ind w:firstLine="0" w:firstLineChars="0"/>
        <w:jc w:val="center"/>
        <w:rPr>
          <w:rFonts w:ascii="仿宋_GB2312" w:hAnsi="宋体" w:eastAsia="仿宋_GB2312" w:cs="Arial"/>
          <w:b/>
          <w:bCs/>
          <w:color w:val="000000"/>
          <w:sz w:val="32"/>
          <w:szCs w:val="32"/>
        </w:rPr>
      </w:pPr>
      <w:r>
        <w:rPr>
          <w:rFonts w:hint="eastAsia" w:ascii="仿宋_GB2312" w:hAnsi="宋体" w:eastAsia="仿宋_GB2312" w:cs="Arial"/>
          <w:b/>
          <w:bCs/>
          <w:color w:val="000000"/>
          <w:sz w:val="32"/>
          <w:szCs w:val="32"/>
        </w:rPr>
        <w:t>202</w:t>
      </w:r>
      <w:r>
        <w:rPr>
          <w:rFonts w:hint="eastAsia" w:ascii="仿宋_GB2312" w:hAnsi="宋体" w:eastAsia="仿宋_GB2312" w:cs="Arial"/>
          <w:b/>
          <w:bCs/>
          <w:color w:val="000000"/>
          <w:sz w:val="32"/>
          <w:szCs w:val="32"/>
          <w:lang w:val="en-US" w:eastAsia="zh-CN"/>
        </w:rPr>
        <w:t>6</w:t>
      </w:r>
      <w:r>
        <w:rPr>
          <w:rFonts w:hint="eastAsia" w:ascii="仿宋_GB2312" w:hAnsi="宋体" w:eastAsia="仿宋_GB2312" w:cs="Arial"/>
          <w:b/>
          <w:bCs/>
          <w:color w:val="000000"/>
          <w:sz w:val="32"/>
          <w:szCs w:val="32"/>
        </w:rPr>
        <w:t>年</w:t>
      </w:r>
      <w:r>
        <w:rPr>
          <w:rFonts w:hint="eastAsia" w:ascii="仿宋_GB2312" w:hAnsi="宋体" w:eastAsia="仿宋_GB2312" w:cs="Arial"/>
          <w:b/>
          <w:bCs/>
          <w:color w:val="000000"/>
          <w:sz w:val="32"/>
          <w:szCs w:val="32"/>
          <w:lang w:val="en-US" w:eastAsia="zh-CN"/>
        </w:rPr>
        <w:t>7</w:t>
      </w:r>
      <w:r>
        <w:rPr>
          <w:rFonts w:hint="eastAsia" w:ascii="仿宋_GB2312" w:hAnsi="宋体" w:eastAsia="仿宋_GB2312" w:cs="Arial"/>
          <w:b/>
          <w:bCs/>
          <w:color w:val="000000"/>
          <w:sz w:val="32"/>
          <w:szCs w:val="32"/>
        </w:rPr>
        <w:t>月</w:t>
      </w:r>
    </w:p>
    <w:p w14:paraId="185781E2">
      <w:pPr>
        <w:pStyle w:val="4"/>
        <w:ind w:firstLine="0" w:firstLineChars="0"/>
        <w:jc w:val="both"/>
        <w:rPr>
          <w:rFonts w:hint="eastAsia" w:ascii="仿宋_GB2312" w:hAnsi="宋体" w:eastAsia="仿宋_GB2312" w:cs="Arial"/>
          <w:b/>
          <w:bCs/>
          <w:color w:val="000000"/>
          <w:sz w:val="32"/>
          <w:szCs w:val="32"/>
          <w:lang w:eastAsia="zh-CN"/>
        </w:rPr>
      </w:pPr>
    </w:p>
    <w:p w14:paraId="54CC78F9">
      <w:pPr>
        <w:pStyle w:val="4"/>
        <w:ind w:firstLine="0" w:firstLineChars="0"/>
        <w:jc w:val="both"/>
        <w:rPr>
          <w:rFonts w:hint="eastAsia" w:ascii="仿宋_GB2312" w:hAnsi="宋体" w:eastAsia="仿宋_GB2312" w:cs="Arial"/>
          <w:b/>
          <w:bCs/>
          <w:color w:val="000000"/>
          <w:sz w:val="32"/>
          <w:szCs w:val="32"/>
          <w:lang w:eastAsia="zh-CN"/>
        </w:rPr>
        <w:sectPr>
          <w:footerReference r:id="rId3" w:type="default"/>
          <w:pgSz w:w="11906" w:h="16838"/>
          <w:pgMar w:top="1440" w:right="1800" w:bottom="1440" w:left="1800" w:header="851" w:footer="992" w:gutter="0"/>
          <w:pgNumType w:fmt="numberInDash"/>
          <w:cols w:space="425" w:num="1"/>
          <w:docGrid w:type="lines" w:linePitch="312" w:charSpace="0"/>
        </w:sectPr>
      </w:pPr>
    </w:p>
    <w:p w14:paraId="66A74F67">
      <w:pPr>
        <w:pStyle w:val="4"/>
        <w:numPr>
          <w:ilvl w:val="0"/>
          <w:numId w:val="0"/>
        </w:numPr>
        <w:spacing w:line="240" w:lineRule="auto"/>
        <w:ind w:leftChars="0"/>
        <w:jc w:val="center"/>
        <w:rPr>
          <w:rFonts w:hint="eastAsia" w:ascii="黑体" w:hAnsi="黑体" w:eastAsia="黑体" w:cs="黑体"/>
          <w:color w:val="000000"/>
          <w:sz w:val="36"/>
          <w:szCs w:val="36"/>
          <w:lang w:val="en-US" w:eastAsia="zh-CN"/>
        </w:rPr>
      </w:pPr>
    </w:p>
    <w:p w14:paraId="6614C7D3">
      <w:pPr>
        <w:pStyle w:val="4"/>
        <w:numPr>
          <w:ilvl w:val="0"/>
          <w:numId w:val="0"/>
        </w:numPr>
        <w:spacing w:line="240" w:lineRule="auto"/>
        <w:ind w:leftChars="0"/>
        <w:jc w:val="center"/>
        <w:rPr>
          <w:rFonts w:hint="eastAsia" w:ascii="黑体" w:hAnsi="黑体" w:eastAsia="黑体" w:cs="黑体"/>
          <w:color w:val="000000"/>
          <w:sz w:val="36"/>
          <w:szCs w:val="36"/>
          <w:lang w:val="en-US" w:eastAsia="zh-CN"/>
        </w:rPr>
      </w:pPr>
    </w:p>
    <w:p w14:paraId="4502A512">
      <w:pPr>
        <w:pStyle w:val="4"/>
        <w:numPr>
          <w:ilvl w:val="0"/>
          <w:numId w:val="0"/>
        </w:numPr>
        <w:spacing w:line="240" w:lineRule="auto"/>
        <w:ind w:leftChars="0"/>
        <w:jc w:val="center"/>
        <w:rPr>
          <w:rFonts w:hint="eastAsia" w:ascii="黑体" w:hAnsi="黑体" w:eastAsia="黑体" w:cs="黑体"/>
          <w:color w:val="000000"/>
          <w:sz w:val="36"/>
          <w:szCs w:val="36"/>
          <w:lang w:val="en-US" w:eastAsia="zh-CN"/>
        </w:rPr>
      </w:pPr>
    </w:p>
    <w:p w14:paraId="36DB7D7E">
      <w:pPr>
        <w:pStyle w:val="4"/>
        <w:numPr>
          <w:ilvl w:val="0"/>
          <w:numId w:val="0"/>
        </w:numPr>
        <w:spacing w:line="240" w:lineRule="auto"/>
        <w:ind w:leftChars="0"/>
        <w:jc w:val="center"/>
        <w:rPr>
          <w:rFonts w:hint="eastAsia" w:ascii="黑体" w:hAnsi="黑体" w:eastAsia="黑体" w:cs="黑体"/>
          <w:color w:val="000000"/>
          <w:sz w:val="36"/>
          <w:szCs w:val="36"/>
          <w:lang w:val="en-US" w:eastAsia="zh-CN"/>
        </w:rPr>
      </w:pPr>
      <w:r>
        <w:rPr>
          <w:rFonts w:hint="eastAsia" w:ascii="黑体" w:hAnsi="黑体" w:eastAsia="黑体" w:cs="黑体"/>
          <w:color w:val="000000"/>
          <w:sz w:val="36"/>
          <w:szCs w:val="36"/>
          <w:lang w:val="en-US" w:eastAsia="zh-CN"/>
        </w:rPr>
        <w:t>院内磋商文件</w:t>
      </w:r>
    </w:p>
    <w:p w14:paraId="797CC423">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根据工作需要，赤峰市妇幼保健院现通过院内磋商方式对下述项目进行采购，欢迎符合资格条件的供应商参加，具体事项如下：</w:t>
      </w:r>
    </w:p>
    <w:p w14:paraId="25B41B19">
      <w:pPr>
        <w:numPr>
          <w:ilvl w:val="0"/>
          <w:numId w:val="1"/>
        </w:num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文件获取方式：</w:t>
      </w:r>
    </w:p>
    <w:p w14:paraId="37CD4164">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在赤峰市妇幼保健院官网免费获取院内磋商文件。</w:t>
      </w:r>
    </w:p>
    <w:p w14:paraId="3BE457D0">
      <w:pPr>
        <w:numPr>
          <w:ilvl w:val="0"/>
          <w:numId w:val="1"/>
        </w:numPr>
        <w:ind w:firstLine="640" w:firstLineChars="200"/>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采购相关情况说明：</w:t>
      </w:r>
    </w:p>
    <w:p w14:paraId="4E04B206">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1.划分采购包情况：共1包</w:t>
      </w:r>
    </w:p>
    <w:p w14:paraId="228B6434">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2、采购方式：院内磋商</w:t>
      </w:r>
    </w:p>
    <w:p w14:paraId="55423F0B">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3.开标方式：院内现场开标</w:t>
      </w:r>
    </w:p>
    <w:p w14:paraId="1BB43765">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4.评标方法：综合评分法</w:t>
      </w:r>
    </w:p>
    <w:p w14:paraId="240CFAD2">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5.联合体投标：不接受</w:t>
      </w:r>
    </w:p>
    <w:p w14:paraId="44E2C321">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6.报价形式：总价</w:t>
      </w:r>
    </w:p>
    <w:p w14:paraId="32C158C5">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7.投标保证金：无；履约担保金：无</w:t>
      </w:r>
    </w:p>
    <w:p w14:paraId="033F5F69">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8.报价：以现场手签报价单为准</w:t>
      </w:r>
    </w:p>
    <w:p w14:paraId="0AF6C06F">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9.资格审查：由招采办在报名阶段进行资格审查，未通过审查的潜在供应商不允许参与现场评标。</w:t>
      </w:r>
    </w:p>
    <w:p w14:paraId="5235161C">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10.中标结果：3个工作日内在官网公示，不单独出具中标通知书。</w:t>
      </w:r>
    </w:p>
    <w:p w14:paraId="30C308CC">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11.合同：中标供应商在知道或应当知道中标结果之日起3个工作日内联系甲方拟定合同，并在30日内签署合同。</w:t>
      </w:r>
    </w:p>
    <w:p w14:paraId="6FDD89C2">
      <w:pPr>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12.</w:t>
      </w:r>
      <w:r>
        <w:rPr>
          <w:rFonts w:hint="default" w:ascii="仿宋" w:hAnsi="仿宋" w:eastAsia="仿宋" w:cs="仿宋"/>
          <w:sz w:val="32"/>
          <w:szCs w:val="32"/>
          <w:lang w:val="en-US" w:eastAsia="zh-CN"/>
        </w:rPr>
        <w:t>响应文件提交的截止时间、开启时间和地点</w:t>
      </w:r>
      <w:r>
        <w:rPr>
          <w:rFonts w:hint="eastAsia" w:ascii="仿宋" w:hAnsi="仿宋" w:eastAsia="仿宋" w:cs="仿宋"/>
          <w:sz w:val="32"/>
          <w:szCs w:val="32"/>
          <w:lang w:val="en-US" w:eastAsia="zh-CN"/>
        </w:rPr>
        <w:t>：</w:t>
      </w:r>
    </w:p>
    <w:p w14:paraId="1F3F16B1">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详见本项目院内磋商公告。</w:t>
      </w:r>
    </w:p>
    <w:p w14:paraId="499BB351">
      <w:pPr>
        <w:numPr>
          <w:ilvl w:val="0"/>
          <w:numId w:val="0"/>
        </w:numPr>
        <w:ind w:firstLine="640" w:firstLineChars="200"/>
        <w:rPr>
          <w:rFonts w:hint="eastAsia" w:ascii="仿宋" w:hAnsi="仿宋" w:eastAsia="仿宋" w:cs="仿宋"/>
          <w:sz w:val="32"/>
          <w:szCs w:val="32"/>
          <w:lang w:val="en-US" w:eastAsia="zh-CN"/>
        </w:rPr>
      </w:pPr>
      <w:bookmarkStart w:id="0" w:name="_Toc8993"/>
      <w:r>
        <w:rPr>
          <w:rFonts w:hint="eastAsia" w:ascii="仿宋" w:hAnsi="仿宋" w:eastAsia="仿宋" w:cs="仿宋"/>
          <w:sz w:val="32"/>
          <w:szCs w:val="32"/>
          <w:lang w:val="en-US" w:eastAsia="zh-CN"/>
        </w:rPr>
        <w:t>13.联系方式</w:t>
      </w:r>
      <w:bookmarkEnd w:id="0"/>
      <w:r>
        <w:rPr>
          <w:rFonts w:hint="eastAsia" w:ascii="仿宋" w:hAnsi="仿宋" w:eastAsia="仿宋" w:cs="仿宋"/>
          <w:sz w:val="32"/>
          <w:szCs w:val="32"/>
          <w:lang w:val="en-US" w:eastAsia="zh-CN"/>
        </w:rPr>
        <w:t>：</w:t>
      </w:r>
    </w:p>
    <w:p w14:paraId="47D3A2BC">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详见本项目院内磋商公告。</w:t>
      </w:r>
      <w:r>
        <w:rPr>
          <w:rFonts w:hint="eastAsia" w:ascii="仿宋" w:hAnsi="仿宋" w:eastAsia="仿宋" w:cs="仿宋"/>
          <w:sz w:val="32"/>
          <w:szCs w:val="32"/>
          <w:lang w:val="en-US" w:eastAsia="zh-CN"/>
        </w:rPr>
        <w:br w:type="textWrapping"/>
      </w:r>
      <w:r>
        <w:rPr>
          <w:rFonts w:hint="eastAsia" w:ascii="黑体" w:hAnsi="黑体" w:eastAsia="黑体" w:cs="黑体"/>
          <w:sz w:val="32"/>
          <w:szCs w:val="32"/>
          <w:lang w:val="en-US" w:eastAsia="zh-CN"/>
        </w:rPr>
        <w:t xml:space="preserve">    三、磋商内容</w:t>
      </w:r>
    </w:p>
    <w:tbl>
      <w:tblPr>
        <w:tblStyle w:val="14"/>
        <w:tblW w:w="10800" w:type="dxa"/>
        <w:tblInd w:w="-1077"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693"/>
        <w:gridCol w:w="1185"/>
        <w:gridCol w:w="6615"/>
        <w:gridCol w:w="1260"/>
        <w:gridCol w:w="1047"/>
      </w:tblGrid>
      <w:tr w14:paraId="2B04EF7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693" w:type="dxa"/>
            <w:tcBorders>
              <w:top w:val="single" w:color="auto" w:sz="8" w:space="0"/>
              <w:left w:val="single" w:color="auto" w:sz="8" w:space="0"/>
              <w:bottom w:val="single" w:color="auto" w:sz="8" w:space="0"/>
              <w:right w:val="single" w:color="auto" w:sz="8" w:space="0"/>
            </w:tcBorders>
            <w:shd w:val="clear" w:color="auto" w:fill="FFFFFF"/>
            <w:vAlign w:val="center"/>
          </w:tcPr>
          <w:p w14:paraId="5A29A3F2">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序号</w:t>
            </w:r>
          </w:p>
        </w:tc>
        <w:tc>
          <w:tcPr>
            <w:tcW w:w="1185" w:type="dxa"/>
            <w:tcBorders>
              <w:top w:val="single" w:color="auto" w:sz="8" w:space="0"/>
              <w:left w:val="single" w:color="auto" w:sz="8" w:space="0"/>
              <w:bottom w:val="single" w:color="auto" w:sz="8" w:space="0"/>
              <w:right w:val="single" w:color="auto" w:sz="8" w:space="0"/>
            </w:tcBorders>
            <w:shd w:val="clear" w:color="auto" w:fill="FFFFFF"/>
            <w:vAlign w:val="center"/>
          </w:tcPr>
          <w:p w14:paraId="72180B2E">
            <w:pPr>
              <w:jc w:val="cente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项目名称</w:t>
            </w:r>
          </w:p>
        </w:tc>
        <w:tc>
          <w:tcPr>
            <w:tcW w:w="6615" w:type="dxa"/>
            <w:tcBorders>
              <w:top w:val="single" w:color="auto" w:sz="8" w:space="0"/>
              <w:left w:val="single" w:color="auto" w:sz="8" w:space="0"/>
              <w:bottom w:val="single" w:color="auto" w:sz="8" w:space="0"/>
              <w:right w:val="single" w:color="auto" w:sz="8" w:space="0"/>
            </w:tcBorders>
            <w:shd w:val="clear" w:color="auto" w:fill="FFFFFF"/>
            <w:vAlign w:val="center"/>
          </w:tcPr>
          <w:p w14:paraId="7E1A317D">
            <w:pPr>
              <w:jc w:val="cente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服务要求</w:t>
            </w:r>
          </w:p>
        </w:tc>
        <w:tc>
          <w:tcPr>
            <w:tcW w:w="1260" w:type="dxa"/>
            <w:tcBorders>
              <w:top w:val="single" w:color="auto" w:sz="8" w:space="0"/>
              <w:left w:val="single" w:color="auto" w:sz="8" w:space="0"/>
              <w:bottom w:val="single" w:color="auto" w:sz="8" w:space="0"/>
              <w:right w:val="single" w:color="auto" w:sz="8" w:space="0"/>
            </w:tcBorders>
            <w:shd w:val="clear" w:color="auto" w:fill="FFFFFF"/>
            <w:vAlign w:val="center"/>
          </w:tcPr>
          <w:p w14:paraId="7EE501B7">
            <w:pPr>
              <w:jc w:val="cente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服务期限</w:t>
            </w:r>
          </w:p>
        </w:tc>
        <w:tc>
          <w:tcPr>
            <w:tcW w:w="1047" w:type="dxa"/>
            <w:tcBorders>
              <w:top w:val="single" w:color="auto" w:sz="8" w:space="0"/>
              <w:left w:val="single" w:color="auto" w:sz="8" w:space="0"/>
              <w:bottom w:val="single" w:color="auto" w:sz="8" w:space="0"/>
              <w:right w:val="single" w:color="auto" w:sz="8" w:space="0"/>
            </w:tcBorders>
            <w:shd w:val="clear" w:color="auto" w:fill="FFFFFF"/>
            <w:vAlign w:val="center"/>
          </w:tcPr>
          <w:p w14:paraId="03887E91">
            <w:pPr>
              <w:jc w:val="cente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预算价格（元）</w:t>
            </w:r>
          </w:p>
        </w:tc>
      </w:tr>
      <w:tr w14:paraId="20C319D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693" w:type="dxa"/>
            <w:tcBorders>
              <w:top w:val="single" w:color="auto" w:sz="8" w:space="0"/>
              <w:left w:val="single" w:color="auto" w:sz="8" w:space="0"/>
              <w:bottom w:val="single" w:color="auto" w:sz="8" w:space="0"/>
              <w:right w:val="single" w:color="auto" w:sz="8" w:space="0"/>
            </w:tcBorders>
            <w:shd w:val="clear" w:color="auto" w:fill="FFFFFF"/>
            <w:vAlign w:val="center"/>
          </w:tcPr>
          <w:p w14:paraId="421592B6">
            <w:pPr>
              <w:jc w:val="center"/>
              <w:rPr>
                <w:rFonts w:hint="eastAsia" w:ascii="仿宋" w:hAnsi="仿宋" w:eastAsia="仿宋" w:cs="仿宋"/>
                <w:sz w:val="32"/>
                <w:szCs w:val="32"/>
              </w:rPr>
            </w:pPr>
            <w:r>
              <w:rPr>
                <w:rFonts w:hint="eastAsia" w:ascii="仿宋" w:hAnsi="仿宋" w:eastAsia="仿宋" w:cs="仿宋"/>
                <w:sz w:val="32"/>
                <w:szCs w:val="32"/>
              </w:rPr>
              <w:t>1</w:t>
            </w:r>
          </w:p>
        </w:tc>
        <w:tc>
          <w:tcPr>
            <w:tcW w:w="1185" w:type="dxa"/>
            <w:tcBorders>
              <w:top w:val="single" w:color="auto" w:sz="8" w:space="0"/>
              <w:left w:val="single" w:color="auto" w:sz="8" w:space="0"/>
              <w:bottom w:val="single" w:color="auto" w:sz="8" w:space="0"/>
              <w:right w:val="single" w:color="auto" w:sz="8" w:space="0"/>
            </w:tcBorders>
            <w:shd w:val="clear" w:color="auto" w:fill="FFFFFF"/>
            <w:vAlign w:val="center"/>
          </w:tcPr>
          <w:p w14:paraId="699A03D8">
            <w:pPr>
              <w:keepNext w:val="0"/>
              <w:keepLines w:val="0"/>
              <w:widowControl/>
              <w:suppressLineNumbers w:val="0"/>
              <w:jc w:val="left"/>
              <w:rPr>
                <w:rFonts w:hint="default" w:ascii="仿宋" w:hAnsi="仿宋" w:eastAsia="仿宋" w:cs="仿宋"/>
                <w:sz w:val="32"/>
                <w:szCs w:val="32"/>
                <w:lang w:val="en-US" w:eastAsia="zh-CN"/>
              </w:rPr>
            </w:pPr>
            <w:r>
              <w:rPr>
                <w:rFonts w:hint="eastAsia" w:ascii="宋体" w:hAnsi="宋体" w:eastAsia="宋体" w:cs="宋体"/>
                <w:kern w:val="0"/>
                <w:sz w:val="24"/>
                <w:szCs w:val="24"/>
                <w:lang w:val="en-US" w:eastAsia="zh-CN" w:bidi="ar"/>
              </w:rPr>
              <w:t>赤峰市妇幼保健院</w:t>
            </w:r>
            <w:r>
              <w:rPr>
                <w:rFonts w:hint="default" w:ascii="宋体" w:hAnsi="宋体" w:eastAsia="宋体" w:cs="宋体"/>
                <w:kern w:val="0"/>
                <w:sz w:val="24"/>
                <w:szCs w:val="24"/>
                <w:lang w:val="en-US" w:eastAsia="zh-CN" w:bidi="ar"/>
              </w:rPr>
              <w:t>医疗废物处置服务</w:t>
            </w:r>
            <w:r>
              <w:rPr>
                <w:rFonts w:hint="eastAsia" w:ascii="宋体" w:hAnsi="宋体" w:eastAsia="宋体" w:cs="宋体"/>
                <w:kern w:val="0"/>
                <w:sz w:val="24"/>
                <w:szCs w:val="24"/>
                <w:lang w:val="en-US" w:eastAsia="zh-CN" w:bidi="ar"/>
              </w:rPr>
              <w:t>项目</w:t>
            </w:r>
          </w:p>
        </w:tc>
        <w:tc>
          <w:tcPr>
            <w:tcW w:w="6615" w:type="dxa"/>
            <w:tcBorders>
              <w:top w:val="single" w:color="auto" w:sz="8" w:space="0"/>
              <w:left w:val="single" w:color="auto" w:sz="8" w:space="0"/>
              <w:bottom w:val="single" w:color="auto" w:sz="8" w:space="0"/>
              <w:right w:val="single" w:color="auto" w:sz="8" w:space="0"/>
            </w:tcBorders>
            <w:shd w:val="clear" w:color="auto" w:fill="FFFFFF"/>
            <w:vAlign w:val="center"/>
          </w:tcPr>
          <w:p w14:paraId="5AC5110E">
            <w:pPr>
              <w:pStyle w:val="2"/>
              <w:keepNext w:val="0"/>
              <w:keepLines w:val="0"/>
              <w:widowControl/>
              <w:suppressLineNumbers w:val="0"/>
              <w:jc w:val="left"/>
              <w:rPr>
                <w:sz w:val="28"/>
                <w:szCs w:val="28"/>
                <w:highlight w:val="none"/>
              </w:rPr>
            </w:pPr>
            <w:r>
              <w:rPr>
                <w:sz w:val="28"/>
                <w:szCs w:val="28"/>
                <w:highlight w:val="none"/>
              </w:rPr>
              <w:t>第</w:t>
            </w:r>
            <w:r>
              <w:rPr>
                <w:rFonts w:hint="eastAsia"/>
                <w:sz w:val="28"/>
                <w:szCs w:val="28"/>
                <w:highlight w:val="none"/>
                <w:lang w:val="en-US" w:eastAsia="zh-CN"/>
              </w:rPr>
              <w:t>一</w:t>
            </w:r>
            <w:r>
              <w:rPr>
                <w:sz w:val="28"/>
                <w:szCs w:val="28"/>
                <w:highlight w:val="none"/>
              </w:rPr>
              <w:t>章 核心服务内容及审计范围</w:t>
            </w:r>
          </w:p>
          <w:p w14:paraId="6C853422">
            <w:pPr>
              <w:pStyle w:val="3"/>
              <w:keepNext w:val="0"/>
              <w:keepLines w:val="0"/>
              <w:widowControl/>
              <w:suppressLineNumbers w:val="0"/>
              <w:jc w:val="left"/>
            </w:pPr>
            <w:r>
              <w:t>一、三年财务报表审计服务</w:t>
            </w:r>
          </w:p>
          <w:p w14:paraId="4D014C19">
            <w:pPr>
              <w:keepNext w:val="0"/>
              <w:keepLines w:val="0"/>
              <w:widowControl/>
              <w:suppressLineNumbers w:val="0"/>
              <w:ind w:firstLine="480" w:firstLineChars="200"/>
              <w:jc w:val="left"/>
            </w:pPr>
            <w:r>
              <w:rPr>
                <w:rFonts w:ascii="宋体" w:hAnsi="宋体" w:eastAsia="宋体" w:cs="宋体"/>
                <w:kern w:val="0"/>
                <w:sz w:val="24"/>
                <w:szCs w:val="24"/>
                <w:lang w:val="en-US" w:eastAsia="zh-CN" w:bidi="ar"/>
              </w:rPr>
              <w:t>对采购人</w:t>
            </w:r>
            <w:r>
              <w:rPr>
                <w:rFonts w:hint="eastAsia" w:ascii="宋体" w:hAnsi="宋体" w:eastAsia="宋体" w:cs="宋体"/>
                <w:kern w:val="0"/>
                <w:sz w:val="24"/>
                <w:szCs w:val="24"/>
                <w:lang w:val="en-US" w:eastAsia="zh-CN" w:bidi="ar"/>
              </w:rPr>
              <w:t>2023-2025</w:t>
            </w:r>
            <w:r>
              <w:rPr>
                <w:rFonts w:ascii="宋体" w:hAnsi="宋体" w:eastAsia="宋体" w:cs="宋体"/>
                <w:kern w:val="0"/>
                <w:sz w:val="24"/>
                <w:szCs w:val="24"/>
                <w:lang w:val="en-US" w:eastAsia="zh-CN" w:bidi="ar"/>
              </w:rPr>
              <w:t>年度全套财务资料开展年度财务报表审计，严格</w:t>
            </w:r>
            <w:r>
              <w:rPr>
                <w:rFonts w:hint="eastAsia" w:ascii="宋体" w:hAnsi="宋体" w:eastAsia="宋体" w:cs="宋体"/>
                <w:kern w:val="0"/>
                <w:sz w:val="24"/>
                <w:szCs w:val="24"/>
                <w:lang w:val="en-US" w:eastAsia="zh-CN" w:bidi="ar"/>
              </w:rPr>
              <w:t>按照政府会计制度</w:t>
            </w:r>
            <w:r>
              <w:rPr>
                <w:rFonts w:ascii="宋体" w:hAnsi="宋体" w:eastAsia="宋体" w:cs="宋体"/>
                <w:kern w:val="0"/>
                <w:sz w:val="24"/>
                <w:szCs w:val="24"/>
                <w:lang w:val="en-US" w:eastAsia="zh-CN" w:bidi="ar"/>
              </w:rPr>
              <w:t>核算口径，完整核查医院财务运行、资产负债、资金使用合规性，每个会计年度单独出具《年度财务报表审计报告》明确问题清单、整改</w:t>
            </w:r>
            <w:r>
              <w:rPr>
                <w:rFonts w:hint="eastAsia" w:ascii="宋体" w:hAnsi="宋体" w:eastAsia="宋体" w:cs="宋体"/>
                <w:kern w:val="0"/>
                <w:sz w:val="24"/>
                <w:szCs w:val="24"/>
                <w:lang w:val="en-US" w:eastAsia="zh-CN" w:bidi="ar"/>
              </w:rPr>
              <w:t>建议</w:t>
            </w:r>
            <w:r>
              <w:rPr>
                <w:rFonts w:ascii="宋体" w:hAnsi="宋体" w:eastAsia="宋体" w:cs="宋体"/>
                <w:kern w:val="0"/>
                <w:sz w:val="24"/>
                <w:szCs w:val="24"/>
                <w:lang w:val="en-US" w:eastAsia="zh-CN" w:bidi="ar"/>
              </w:rPr>
              <w:t>。</w:t>
            </w:r>
          </w:p>
          <w:p w14:paraId="4A4C6E5B">
            <w:pPr>
              <w:pStyle w:val="3"/>
              <w:keepNext w:val="0"/>
              <w:keepLines w:val="0"/>
              <w:widowControl/>
              <w:suppressLineNumbers w:val="0"/>
              <w:jc w:val="left"/>
            </w:pPr>
            <w:r>
              <w:t>二、两年经济责任审计服务</w:t>
            </w:r>
          </w:p>
          <w:p w14:paraId="28E1617D">
            <w:pPr>
              <w:keepNext w:val="0"/>
              <w:keepLines w:val="0"/>
              <w:widowControl/>
              <w:suppressLineNumbers w:val="0"/>
              <w:ind w:firstLine="480" w:firstLineChars="200"/>
              <w:jc w:val="left"/>
            </w:pPr>
            <w:r>
              <w:rPr>
                <w:rFonts w:ascii="宋体" w:hAnsi="宋体" w:eastAsia="宋体" w:cs="宋体"/>
                <w:kern w:val="0"/>
                <w:sz w:val="24"/>
                <w:szCs w:val="24"/>
                <w:lang w:val="en-US" w:eastAsia="zh-CN" w:bidi="ar"/>
              </w:rPr>
              <w:t>针对医院</w:t>
            </w:r>
            <w:r>
              <w:rPr>
                <w:rFonts w:hint="eastAsia" w:ascii="宋体" w:hAnsi="宋体" w:eastAsia="宋体" w:cs="宋体"/>
                <w:kern w:val="0"/>
                <w:sz w:val="24"/>
                <w:szCs w:val="24"/>
                <w:lang w:val="en-US" w:eastAsia="zh-CN" w:bidi="ar"/>
              </w:rPr>
              <w:t>2024-2025年度</w:t>
            </w:r>
            <w:r>
              <w:rPr>
                <w:rFonts w:ascii="宋体" w:hAnsi="宋体" w:eastAsia="宋体" w:cs="宋体"/>
                <w:kern w:val="0"/>
                <w:sz w:val="24"/>
                <w:szCs w:val="24"/>
                <w:lang w:val="en-US" w:eastAsia="zh-CN" w:bidi="ar"/>
              </w:rPr>
              <w:t>经济责任履行情况开展专项审计，聚焦经济决策、运营管理、财经纪律、廉政履职、整改落实五大维度，客观评价履职成效、查实问题、界定责任</w:t>
            </w:r>
            <w:r>
              <w:rPr>
                <w:rFonts w:hint="eastAsia" w:ascii="宋体" w:hAnsi="宋体" w:eastAsia="宋体" w:cs="宋体"/>
                <w:kern w:val="0"/>
                <w:sz w:val="24"/>
                <w:szCs w:val="24"/>
                <w:lang w:val="en-US" w:eastAsia="zh-CN" w:bidi="ar"/>
              </w:rPr>
              <w:t>，</w:t>
            </w:r>
            <w:r>
              <w:rPr>
                <w:rFonts w:ascii="宋体" w:hAnsi="宋体" w:eastAsia="宋体" w:cs="宋体"/>
                <w:kern w:val="0"/>
                <w:sz w:val="24"/>
                <w:szCs w:val="24"/>
                <w:lang w:val="en-US" w:eastAsia="zh-CN" w:bidi="ar"/>
              </w:rPr>
              <w:t>出具正式《经济责任审计报告》明确问题清单、整改</w:t>
            </w:r>
            <w:r>
              <w:rPr>
                <w:rFonts w:hint="eastAsia" w:ascii="宋体" w:hAnsi="宋体" w:eastAsia="宋体" w:cs="宋体"/>
                <w:kern w:val="0"/>
                <w:sz w:val="24"/>
                <w:szCs w:val="24"/>
                <w:lang w:val="en-US" w:eastAsia="zh-CN" w:bidi="ar"/>
              </w:rPr>
              <w:t>建议</w:t>
            </w:r>
            <w:r>
              <w:rPr>
                <w:rFonts w:ascii="宋体" w:hAnsi="宋体" w:eastAsia="宋体" w:cs="宋体"/>
                <w:kern w:val="0"/>
                <w:sz w:val="24"/>
                <w:szCs w:val="24"/>
                <w:lang w:val="en-US" w:eastAsia="zh-CN" w:bidi="ar"/>
              </w:rPr>
              <w:t>。</w:t>
            </w:r>
          </w:p>
          <w:p w14:paraId="3E00E515">
            <w:pPr>
              <w:pStyle w:val="2"/>
              <w:keepNext w:val="0"/>
              <w:keepLines w:val="0"/>
              <w:widowControl/>
              <w:suppressLineNumbers w:val="0"/>
              <w:jc w:val="left"/>
              <w:rPr>
                <w:sz w:val="28"/>
                <w:szCs w:val="28"/>
                <w:highlight w:val="none"/>
              </w:rPr>
            </w:pPr>
            <w:r>
              <w:rPr>
                <w:sz w:val="28"/>
                <w:szCs w:val="28"/>
                <w:highlight w:val="none"/>
              </w:rPr>
              <w:t>第</w:t>
            </w:r>
            <w:r>
              <w:rPr>
                <w:rFonts w:hint="eastAsia"/>
                <w:sz w:val="28"/>
                <w:szCs w:val="28"/>
                <w:highlight w:val="none"/>
                <w:lang w:val="en-US" w:eastAsia="zh-CN"/>
              </w:rPr>
              <w:t>二</w:t>
            </w:r>
            <w:r>
              <w:rPr>
                <w:sz w:val="28"/>
                <w:szCs w:val="28"/>
                <w:highlight w:val="none"/>
              </w:rPr>
              <w:t>章 投标人资质及人员要求</w:t>
            </w:r>
          </w:p>
          <w:p w14:paraId="736A13E0">
            <w:pPr>
              <w:keepNext w:val="0"/>
              <w:keepLines w:val="0"/>
              <w:widowControl/>
              <w:suppressLineNumbers w:val="0"/>
              <w:jc w:val="left"/>
            </w:pPr>
            <w:r>
              <w:rPr>
                <w:rStyle w:val="17"/>
                <w:rFonts w:ascii="宋体" w:hAnsi="宋体" w:eastAsia="宋体" w:cs="宋体"/>
                <w:kern w:val="0"/>
                <w:sz w:val="24"/>
                <w:szCs w:val="24"/>
                <w:lang w:val="en-US" w:eastAsia="zh-CN" w:bidi="ar"/>
              </w:rPr>
              <w:t>一、机构资质</w:t>
            </w:r>
          </w:p>
          <w:p w14:paraId="14ED0954">
            <w:pPr>
              <w:keepNext w:val="0"/>
              <w:keepLines w:val="0"/>
              <w:widowControl/>
              <w:suppressLineNumbers w:val="0"/>
              <w:jc w:val="left"/>
              <w:rPr>
                <w:color w:val="auto"/>
              </w:rPr>
            </w:pPr>
            <w:r>
              <w:rPr>
                <w:rFonts w:ascii="宋体" w:hAnsi="宋体" w:eastAsia="宋体" w:cs="宋体"/>
                <w:kern w:val="0"/>
                <w:sz w:val="24"/>
                <w:szCs w:val="24"/>
                <w:lang w:val="en-US" w:eastAsia="zh-CN" w:bidi="ar"/>
              </w:rPr>
              <w:t>1. 具备合法有效的营业执照、会计师事务所执业证书，具备独立法人资格，能够</w:t>
            </w:r>
            <w:r>
              <w:rPr>
                <w:rFonts w:ascii="宋体" w:hAnsi="宋体" w:eastAsia="宋体" w:cs="宋体"/>
                <w:color w:val="auto"/>
                <w:kern w:val="0"/>
                <w:sz w:val="24"/>
                <w:szCs w:val="24"/>
                <w:lang w:val="en-US" w:eastAsia="zh-CN" w:bidi="ar"/>
              </w:rPr>
              <w:t>独立承担民事责任与审计责任。</w:t>
            </w:r>
          </w:p>
          <w:p w14:paraId="1C9487D0">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2. 近3年内</w:t>
            </w:r>
            <w:r>
              <w:rPr>
                <w:rFonts w:hint="eastAsia" w:ascii="宋体" w:hAnsi="宋体" w:eastAsia="宋体" w:cs="宋体"/>
                <w:color w:val="auto"/>
                <w:kern w:val="0"/>
                <w:sz w:val="24"/>
                <w:szCs w:val="24"/>
                <w:lang w:val="en-US" w:eastAsia="zh-CN" w:bidi="ar"/>
              </w:rPr>
              <w:t>供营商未被列入“信用中国”网站(</w:t>
            </w:r>
            <w:r>
              <w:rPr>
                <w:rFonts w:hint="eastAsia" w:ascii="宋体" w:hAnsi="宋体" w:eastAsia="宋体" w:cs="宋体"/>
                <w:color w:val="auto"/>
                <w:kern w:val="0"/>
                <w:sz w:val="24"/>
                <w:szCs w:val="24"/>
                <w:lang w:val="en-US" w:eastAsia="zh-CN" w:bidi="ar"/>
              </w:rPr>
              <w:fldChar w:fldCharType="begin"/>
            </w:r>
            <w:r>
              <w:rPr>
                <w:rFonts w:hint="eastAsia" w:ascii="宋体" w:hAnsi="宋体" w:eastAsia="宋体" w:cs="宋体"/>
                <w:color w:val="auto"/>
                <w:kern w:val="0"/>
                <w:sz w:val="24"/>
                <w:szCs w:val="24"/>
                <w:lang w:val="en-US" w:eastAsia="zh-CN" w:bidi="ar"/>
              </w:rPr>
              <w:instrText xml:space="preserve"> HYPERLINK "http://www.creditchina.gov.cn/" \o "" </w:instrText>
            </w:r>
            <w:r>
              <w:rPr>
                <w:rFonts w:hint="eastAsia" w:ascii="宋体" w:hAnsi="宋体" w:eastAsia="宋体" w:cs="宋体"/>
                <w:color w:val="auto"/>
                <w:kern w:val="0"/>
                <w:sz w:val="24"/>
                <w:szCs w:val="24"/>
                <w:lang w:val="en-US" w:eastAsia="zh-CN" w:bidi="ar"/>
              </w:rPr>
              <w:fldChar w:fldCharType="separate"/>
            </w:r>
            <w:r>
              <w:rPr>
                <w:rFonts w:hint="eastAsia" w:ascii="宋体" w:hAnsi="宋体" w:eastAsia="宋体" w:cs="宋体"/>
                <w:color w:val="auto"/>
                <w:kern w:val="0"/>
                <w:sz w:val="24"/>
                <w:szCs w:val="24"/>
                <w:lang w:val="en-US" w:eastAsia="zh-CN" w:bidi="ar"/>
              </w:rPr>
              <w:t>www.creditchina.gov.cn</w:t>
            </w:r>
            <w:r>
              <w:rPr>
                <w:rFonts w:hint="default" w:ascii="宋体" w:hAnsi="宋体" w:eastAsia="宋体" w:cs="宋体"/>
                <w:color w:val="auto"/>
                <w:kern w:val="0"/>
                <w:sz w:val="24"/>
                <w:szCs w:val="24"/>
                <w:lang w:val="en-US" w:eastAsia="zh-CN" w:bidi="ar"/>
              </w:rPr>
              <w:fldChar w:fldCharType="end"/>
            </w:r>
            <w:r>
              <w:rPr>
                <w:rFonts w:hint="eastAsia" w:ascii="宋体" w:hAnsi="宋体" w:eastAsia="宋体" w:cs="宋体"/>
                <w:color w:val="auto"/>
                <w:kern w:val="0"/>
                <w:sz w:val="24"/>
                <w:szCs w:val="24"/>
                <w:lang w:val="en-US" w:eastAsia="zh-CN" w:bidi="ar"/>
              </w:rPr>
              <w:t>)信用失信被执行人、重大税收违法案件当事人名单、政府采购严重违法失信名单；未被“中国政府采购网”（www.ccgp.gov.cn）列入政府采购严重违法失信行为记录名单的截图。</w:t>
            </w:r>
            <w:r>
              <w:rPr>
                <w:rFonts w:hint="eastAsia" w:ascii="仿宋" w:hAnsi="仿宋" w:eastAsia="仿宋" w:cs="仿宋"/>
                <w:color w:val="auto"/>
                <w:sz w:val="32"/>
                <w:szCs w:val="32"/>
                <w:lang w:val="en-US" w:eastAsia="zh-CN"/>
              </w:rPr>
              <w:br w:type="textWrapping"/>
            </w:r>
          </w:p>
          <w:p w14:paraId="7D55BA1B">
            <w:pPr>
              <w:keepNext w:val="0"/>
              <w:keepLines w:val="0"/>
              <w:widowControl/>
              <w:suppressLineNumbers w:val="0"/>
              <w:jc w:val="left"/>
              <w:rPr>
                <w:rFonts w:hint="default"/>
                <w:color w:val="auto"/>
                <w:highlight w:val="none"/>
                <w:lang w:val="en-US"/>
              </w:rPr>
            </w:pPr>
            <w:r>
              <w:rPr>
                <w:rFonts w:ascii="宋体" w:hAnsi="宋体" w:eastAsia="宋体" w:cs="宋体"/>
                <w:color w:val="auto"/>
                <w:kern w:val="0"/>
                <w:sz w:val="24"/>
                <w:szCs w:val="24"/>
                <w:highlight w:val="none"/>
                <w:lang w:val="en-US" w:eastAsia="zh-CN" w:bidi="ar"/>
              </w:rPr>
              <w:t>3. 具备公立医院、卫健系统行政事业单位审计服务经验，</w:t>
            </w:r>
            <w:r>
              <w:rPr>
                <w:rFonts w:hint="eastAsia" w:ascii="宋体" w:hAnsi="宋体" w:eastAsia="宋体" w:cs="宋体"/>
                <w:color w:val="auto"/>
                <w:kern w:val="0"/>
                <w:sz w:val="24"/>
                <w:szCs w:val="24"/>
                <w:highlight w:val="none"/>
                <w:lang w:val="en-US" w:eastAsia="zh-CN" w:bidi="ar"/>
              </w:rPr>
              <w:t>至少完成3项同类业绩，</w:t>
            </w:r>
            <w:r>
              <w:rPr>
                <w:rFonts w:ascii="宋体" w:hAnsi="宋体" w:eastAsia="宋体" w:cs="宋体"/>
                <w:color w:val="auto"/>
                <w:kern w:val="0"/>
                <w:sz w:val="24"/>
                <w:szCs w:val="24"/>
                <w:highlight w:val="none"/>
                <w:lang w:val="en-US" w:eastAsia="zh-CN" w:bidi="ar"/>
              </w:rPr>
              <w:t>熟悉政府会计制度。</w:t>
            </w:r>
            <w:r>
              <w:rPr>
                <w:rFonts w:hint="eastAsia" w:ascii="宋体" w:hAnsi="宋体" w:eastAsia="宋体" w:cs="宋体"/>
                <w:color w:val="auto"/>
                <w:kern w:val="0"/>
                <w:sz w:val="24"/>
                <w:szCs w:val="24"/>
                <w:highlight w:val="none"/>
                <w:lang w:val="en-US" w:eastAsia="zh-CN" w:bidi="ar"/>
              </w:rPr>
              <w:t>提供近三年给</w:t>
            </w:r>
            <w:r>
              <w:rPr>
                <w:rFonts w:ascii="宋体" w:hAnsi="宋体" w:eastAsia="宋体" w:cs="宋体"/>
                <w:color w:val="auto"/>
                <w:kern w:val="0"/>
                <w:sz w:val="24"/>
                <w:szCs w:val="24"/>
                <w:highlight w:val="none"/>
                <w:lang w:val="en-US" w:eastAsia="zh-CN" w:bidi="ar"/>
              </w:rPr>
              <w:t>公立医院</w:t>
            </w:r>
            <w:r>
              <w:rPr>
                <w:rFonts w:hint="eastAsia" w:ascii="宋体" w:hAnsi="宋体" w:eastAsia="宋体" w:cs="宋体"/>
                <w:color w:val="auto"/>
                <w:kern w:val="0"/>
                <w:sz w:val="24"/>
                <w:szCs w:val="24"/>
                <w:highlight w:val="none"/>
                <w:lang w:val="en-US" w:eastAsia="zh-CN" w:bidi="ar"/>
              </w:rPr>
              <w:t>或</w:t>
            </w:r>
            <w:r>
              <w:rPr>
                <w:rFonts w:ascii="宋体" w:hAnsi="宋体" w:eastAsia="宋体" w:cs="宋体"/>
                <w:color w:val="auto"/>
                <w:kern w:val="0"/>
                <w:sz w:val="24"/>
                <w:szCs w:val="24"/>
                <w:highlight w:val="none"/>
                <w:lang w:val="en-US" w:eastAsia="zh-CN" w:bidi="ar"/>
              </w:rPr>
              <w:t>行政事业单位</w:t>
            </w:r>
            <w:r>
              <w:rPr>
                <w:rFonts w:hint="eastAsia" w:ascii="宋体" w:hAnsi="宋体" w:eastAsia="宋体" w:cs="宋体"/>
                <w:color w:val="auto"/>
                <w:kern w:val="0"/>
                <w:sz w:val="24"/>
                <w:szCs w:val="24"/>
                <w:highlight w:val="none"/>
                <w:lang w:val="en-US" w:eastAsia="zh-CN" w:bidi="ar"/>
              </w:rPr>
              <w:t>审计服务合同作为佐证材料。</w:t>
            </w:r>
          </w:p>
          <w:p w14:paraId="26FAA0DA">
            <w:pPr>
              <w:keepNext w:val="0"/>
              <w:keepLines w:val="0"/>
              <w:widowControl/>
              <w:suppressLineNumbers w:val="0"/>
              <w:jc w:val="left"/>
              <w:rPr>
                <w:color w:val="auto"/>
              </w:rPr>
            </w:pPr>
            <w:r>
              <w:rPr>
                <w:rStyle w:val="17"/>
                <w:rFonts w:ascii="宋体" w:hAnsi="宋体" w:eastAsia="宋体" w:cs="宋体"/>
                <w:color w:val="auto"/>
                <w:kern w:val="0"/>
                <w:sz w:val="24"/>
                <w:szCs w:val="24"/>
                <w:lang w:val="en-US" w:eastAsia="zh-CN" w:bidi="ar"/>
              </w:rPr>
              <w:t>二、项目团队人员要求</w:t>
            </w:r>
          </w:p>
          <w:p w14:paraId="752641AF">
            <w:pPr>
              <w:keepNext w:val="0"/>
              <w:keepLines w:val="0"/>
              <w:widowControl/>
              <w:suppressLineNumbers w:val="0"/>
              <w:jc w:val="left"/>
              <w:rPr>
                <w:highlight w:val="none"/>
              </w:rPr>
            </w:pPr>
            <w:r>
              <w:rPr>
                <w:rFonts w:ascii="宋体" w:hAnsi="宋体" w:eastAsia="宋体" w:cs="宋体"/>
                <w:kern w:val="0"/>
                <w:sz w:val="24"/>
                <w:szCs w:val="24"/>
                <w:lang w:val="en-US" w:eastAsia="zh-CN" w:bidi="ar"/>
              </w:rPr>
              <w:t>1. 项目负责人：具备注册会计师执业资格，</w:t>
            </w:r>
            <w:r>
              <w:rPr>
                <w:rFonts w:hint="eastAsia" w:ascii="宋体" w:hAnsi="宋体" w:eastAsia="宋体" w:cs="宋体"/>
                <w:kern w:val="0"/>
                <w:sz w:val="24"/>
                <w:szCs w:val="24"/>
                <w:highlight w:val="none"/>
                <w:lang w:val="en-US" w:eastAsia="zh-CN" w:bidi="ar"/>
              </w:rPr>
              <w:t>3</w:t>
            </w:r>
            <w:r>
              <w:rPr>
                <w:rFonts w:ascii="宋体" w:hAnsi="宋体" w:eastAsia="宋体" w:cs="宋体"/>
                <w:kern w:val="0"/>
                <w:sz w:val="24"/>
                <w:szCs w:val="24"/>
                <w:highlight w:val="none"/>
                <w:lang w:val="en-US" w:eastAsia="zh-CN" w:bidi="ar"/>
              </w:rPr>
              <w:t>年</w:t>
            </w:r>
            <w:r>
              <w:rPr>
                <w:rFonts w:hint="eastAsia" w:ascii="宋体" w:hAnsi="宋体" w:eastAsia="宋体" w:cs="宋体"/>
                <w:kern w:val="0"/>
                <w:sz w:val="24"/>
                <w:szCs w:val="24"/>
                <w:highlight w:val="none"/>
                <w:lang w:val="en-US" w:eastAsia="zh-CN" w:bidi="ar"/>
              </w:rPr>
              <w:t>及</w:t>
            </w:r>
            <w:r>
              <w:rPr>
                <w:rFonts w:ascii="宋体" w:hAnsi="宋体" w:eastAsia="宋体" w:cs="宋体"/>
                <w:kern w:val="0"/>
                <w:sz w:val="24"/>
                <w:szCs w:val="24"/>
                <w:highlight w:val="none"/>
                <w:lang w:val="en-US" w:eastAsia="zh-CN" w:bidi="ar"/>
              </w:rPr>
              <w:t>以上行政事业单位</w:t>
            </w:r>
            <w:r>
              <w:rPr>
                <w:rFonts w:hint="eastAsia" w:ascii="宋体" w:hAnsi="宋体" w:eastAsia="宋体" w:cs="宋体"/>
                <w:kern w:val="0"/>
                <w:sz w:val="24"/>
                <w:szCs w:val="24"/>
                <w:highlight w:val="none"/>
                <w:lang w:val="en-US" w:eastAsia="zh-CN" w:bidi="ar"/>
              </w:rPr>
              <w:t>或</w:t>
            </w:r>
            <w:r>
              <w:rPr>
                <w:rFonts w:ascii="宋体" w:hAnsi="宋体" w:eastAsia="宋体" w:cs="宋体"/>
                <w:kern w:val="0"/>
                <w:sz w:val="24"/>
                <w:szCs w:val="24"/>
                <w:highlight w:val="none"/>
                <w:lang w:val="en-US" w:eastAsia="zh-CN" w:bidi="ar"/>
              </w:rPr>
              <w:t>公立医院审计经验，无不良执业记录。</w:t>
            </w:r>
          </w:p>
          <w:p w14:paraId="62A29EAD">
            <w:pPr>
              <w:keepNext w:val="0"/>
              <w:keepLines w:val="0"/>
              <w:widowControl/>
              <w:suppressLineNumbers w:val="0"/>
              <w:jc w:val="left"/>
              <w:rPr>
                <w:highlight w:val="none"/>
              </w:rPr>
            </w:pPr>
            <w:r>
              <w:rPr>
                <w:rFonts w:ascii="宋体" w:hAnsi="宋体" w:eastAsia="宋体" w:cs="宋体"/>
                <w:kern w:val="0"/>
                <w:sz w:val="24"/>
                <w:szCs w:val="24"/>
                <w:highlight w:val="none"/>
                <w:lang w:val="en-US" w:eastAsia="zh-CN" w:bidi="ar"/>
              </w:rPr>
              <w:t>2. 核心审计人员：团队配备</w:t>
            </w:r>
            <w:r>
              <w:rPr>
                <w:rFonts w:hint="eastAsia" w:ascii="宋体" w:hAnsi="宋体" w:eastAsia="宋体" w:cs="宋体"/>
                <w:kern w:val="0"/>
                <w:sz w:val="24"/>
                <w:szCs w:val="24"/>
                <w:highlight w:val="none"/>
                <w:lang w:val="en-US" w:eastAsia="zh-CN" w:bidi="ar"/>
              </w:rPr>
              <w:t>2-</w:t>
            </w:r>
            <w:r>
              <w:rPr>
                <w:rFonts w:ascii="宋体" w:hAnsi="宋体" w:eastAsia="宋体" w:cs="宋体"/>
                <w:kern w:val="0"/>
                <w:sz w:val="24"/>
                <w:szCs w:val="24"/>
                <w:highlight w:val="none"/>
                <w:lang w:val="en-US" w:eastAsia="zh-CN" w:bidi="ar"/>
              </w:rPr>
              <w:t>3名专职审计人员，具备财务、审计、相关从业经验。</w:t>
            </w:r>
          </w:p>
          <w:p w14:paraId="166906DF">
            <w:pPr>
              <w:keepNext w:val="0"/>
              <w:keepLines w:val="0"/>
              <w:widowControl/>
              <w:suppressLineNumbers w:val="0"/>
              <w:jc w:val="left"/>
            </w:pPr>
            <w:r>
              <w:rPr>
                <w:rFonts w:ascii="宋体" w:hAnsi="宋体" w:eastAsia="宋体" w:cs="宋体"/>
                <w:kern w:val="0"/>
                <w:sz w:val="24"/>
                <w:szCs w:val="24"/>
                <w:highlight w:val="none"/>
                <w:lang w:val="en-US" w:eastAsia="zh-CN" w:bidi="ar"/>
              </w:rPr>
              <w:t>3. 全程驻场配合，保证审计进度与质量，不得随意更</w:t>
            </w:r>
            <w:r>
              <w:rPr>
                <w:rFonts w:ascii="宋体" w:hAnsi="宋体" w:eastAsia="宋体" w:cs="宋体"/>
                <w:kern w:val="0"/>
                <w:sz w:val="24"/>
                <w:szCs w:val="24"/>
                <w:lang w:val="en-US" w:eastAsia="zh-CN" w:bidi="ar"/>
              </w:rPr>
              <w:t>换项目负责人及核心人员，如需更换需提前征得采购人同意。</w:t>
            </w:r>
          </w:p>
          <w:p w14:paraId="37F15758">
            <w:pPr>
              <w:pStyle w:val="2"/>
              <w:keepNext w:val="0"/>
              <w:keepLines w:val="0"/>
              <w:widowControl/>
              <w:suppressLineNumbers w:val="0"/>
              <w:jc w:val="left"/>
              <w:rPr>
                <w:sz w:val="28"/>
                <w:szCs w:val="28"/>
                <w:highlight w:val="none"/>
              </w:rPr>
            </w:pPr>
            <w:r>
              <w:rPr>
                <w:sz w:val="28"/>
                <w:szCs w:val="28"/>
                <w:highlight w:val="none"/>
              </w:rPr>
              <w:t>第</w:t>
            </w:r>
            <w:r>
              <w:rPr>
                <w:rFonts w:hint="eastAsia"/>
                <w:sz w:val="28"/>
                <w:szCs w:val="28"/>
                <w:highlight w:val="none"/>
                <w:lang w:val="en-US" w:eastAsia="zh-CN"/>
              </w:rPr>
              <w:t>三</w:t>
            </w:r>
            <w:r>
              <w:rPr>
                <w:sz w:val="28"/>
                <w:szCs w:val="28"/>
                <w:highlight w:val="none"/>
              </w:rPr>
              <w:t>章 商务及服务要求</w:t>
            </w:r>
          </w:p>
          <w:p w14:paraId="036832EE">
            <w:pPr>
              <w:keepNext w:val="0"/>
              <w:keepLines w:val="0"/>
              <w:widowControl/>
              <w:suppressLineNumbers w:val="0"/>
              <w:jc w:val="left"/>
            </w:pPr>
            <w:r>
              <w:rPr>
                <w:rStyle w:val="17"/>
                <w:rFonts w:hint="eastAsia" w:ascii="宋体" w:hAnsi="宋体" w:eastAsia="宋体" w:cs="宋体"/>
                <w:kern w:val="0"/>
                <w:sz w:val="24"/>
                <w:szCs w:val="24"/>
                <w:lang w:val="en-US" w:eastAsia="zh-CN" w:bidi="ar"/>
              </w:rPr>
              <w:t>一</w:t>
            </w:r>
            <w:r>
              <w:rPr>
                <w:rStyle w:val="17"/>
                <w:rFonts w:ascii="宋体" w:hAnsi="宋体" w:eastAsia="宋体" w:cs="宋体"/>
                <w:kern w:val="0"/>
                <w:sz w:val="24"/>
                <w:szCs w:val="24"/>
                <w:lang w:val="en-US" w:eastAsia="zh-CN" w:bidi="ar"/>
              </w:rPr>
              <w:t>、服务配合要求</w:t>
            </w:r>
          </w:p>
          <w:p w14:paraId="0CA7844C">
            <w:pPr>
              <w:keepNext w:val="0"/>
              <w:keepLines w:val="0"/>
              <w:widowControl/>
              <w:suppressLineNumbers w:val="0"/>
              <w:jc w:val="left"/>
            </w:pPr>
            <w:r>
              <w:rPr>
                <w:rFonts w:ascii="宋体" w:hAnsi="宋体" w:eastAsia="宋体" w:cs="宋体"/>
                <w:kern w:val="0"/>
                <w:sz w:val="24"/>
                <w:szCs w:val="24"/>
                <w:lang w:val="en-US" w:eastAsia="zh-CN" w:bidi="ar"/>
              </w:rPr>
              <w:t>1. 中标机构需全程配合医院财务科开展资料归集、数据核对、问题沟通、整改指导工作；</w:t>
            </w:r>
          </w:p>
          <w:p w14:paraId="445B784D">
            <w:pPr>
              <w:keepNext w:val="0"/>
              <w:keepLines w:val="0"/>
              <w:widowControl/>
              <w:suppressLineNumbers w:val="0"/>
              <w:jc w:val="left"/>
            </w:pPr>
            <w:r>
              <w:rPr>
                <w:rFonts w:ascii="宋体" w:hAnsi="宋体" w:eastAsia="宋体" w:cs="宋体"/>
                <w:kern w:val="0"/>
                <w:sz w:val="24"/>
                <w:szCs w:val="24"/>
                <w:lang w:val="en-US" w:eastAsia="zh-CN" w:bidi="ar"/>
              </w:rPr>
              <w:t>2. 针对审计发现的收支合规、内控漏洞、</w:t>
            </w:r>
            <w:r>
              <w:rPr>
                <w:rFonts w:hint="eastAsia" w:ascii="宋体" w:hAnsi="宋体" w:eastAsia="宋体" w:cs="宋体"/>
                <w:kern w:val="0"/>
                <w:sz w:val="24"/>
                <w:szCs w:val="24"/>
                <w:lang w:val="en-US" w:eastAsia="zh-CN" w:bidi="ar"/>
              </w:rPr>
              <w:t>委托</w:t>
            </w:r>
            <w:r>
              <w:rPr>
                <w:rFonts w:ascii="宋体" w:hAnsi="宋体" w:eastAsia="宋体" w:cs="宋体"/>
                <w:kern w:val="0"/>
                <w:sz w:val="24"/>
                <w:szCs w:val="24"/>
                <w:lang w:val="en-US" w:eastAsia="zh-CN" w:bidi="ar"/>
              </w:rPr>
              <w:t>费用管理等问题，提供精准、可落地的整改方案；</w:t>
            </w:r>
          </w:p>
          <w:p w14:paraId="5A0EB8B2">
            <w:pPr>
              <w:keepNext w:val="0"/>
              <w:keepLines w:val="0"/>
              <w:widowControl/>
              <w:suppressLineNumbers w:val="0"/>
              <w:jc w:val="left"/>
            </w:pPr>
            <w:r>
              <w:rPr>
                <w:rStyle w:val="17"/>
                <w:rFonts w:hint="eastAsia" w:ascii="宋体" w:hAnsi="宋体" w:eastAsia="宋体" w:cs="宋体"/>
                <w:kern w:val="0"/>
                <w:sz w:val="24"/>
                <w:szCs w:val="24"/>
                <w:lang w:val="en-US" w:eastAsia="zh-CN" w:bidi="ar"/>
              </w:rPr>
              <w:t>二</w:t>
            </w:r>
            <w:r>
              <w:rPr>
                <w:rStyle w:val="17"/>
                <w:rFonts w:ascii="宋体" w:hAnsi="宋体" w:eastAsia="宋体" w:cs="宋体"/>
                <w:kern w:val="0"/>
                <w:sz w:val="24"/>
                <w:szCs w:val="24"/>
                <w:lang w:val="en-US" w:eastAsia="zh-CN" w:bidi="ar"/>
              </w:rPr>
              <w:t>、保密要求</w:t>
            </w:r>
          </w:p>
          <w:p w14:paraId="613B4612">
            <w:pPr>
              <w:keepNext w:val="0"/>
              <w:keepLines w:val="0"/>
              <w:widowControl/>
              <w:suppressLineNumbers w:val="0"/>
              <w:ind w:firstLine="480" w:firstLineChars="200"/>
              <w:jc w:val="left"/>
            </w:pPr>
            <w:r>
              <w:rPr>
                <w:rFonts w:ascii="宋体" w:hAnsi="宋体" w:eastAsia="宋体" w:cs="宋体"/>
                <w:kern w:val="0"/>
                <w:sz w:val="24"/>
                <w:szCs w:val="24"/>
                <w:lang w:val="en-US" w:eastAsia="zh-CN" w:bidi="ar"/>
              </w:rPr>
              <w:t>中标机构对医院财务数据、资产信息、医保数据、运营数据、涉密资料承担终身保密责任，严禁外泄、商用、转借，否则承担全部法律责任。</w:t>
            </w:r>
          </w:p>
          <w:p w14:paraId="02F906F5">
            <w:pPr>
              <w:keepNext w:val="0"/>
              <w:keepLines w:val="0"/>
              <w:widowControl/>
              <w:suppressLineNumbers w:val="0"/>
              <w:jc w:val="left"/>
            </w:pPr>
            <w:r>
              <w:rPr>
                <w:rStyle w:val="17"/>
                <w:rFonts w:hint="eastAsia" w:ascii="宋体" w:hAnsi="宋体" w:eastAsia="宋体" w:cs="宋体"/>
                <w:kern w:val="0"/>
                <w:sz w:val="24"/>
                <w:szCs w:val="24"/>
                <w:lang w:val="en-US" w:eastAsia="zh-CN" w:bidi="ar"/>
              </w:rPr>
              <w:t>三</w:t>
            </w:r>
            <w:r>
              <w:rPr>
                <w:rStyle w:val="17"/>
                <w:rFonts w:ascii="宋体" w:hAnsi="宋体" w:eastAsia="宋体" w:cs="宋体"/>
                <w:kern w:val="0"/>
                <w:sz w:val="24"/>
                <w:szCs w:val="24"/>
                <w:lang w:val="en-US" w:eastAsia="zh-CN" w:bidi="ar"/>
              </w:rPr>
              <w:t>、成果交付要求</w:t>
            </w:r>
          </w:p>
          <w:p w14:paraId="2D0D1802">
            <w:pPr>
              <w:keepNext w:val="0"/>
              <w:keepLines w:val="0"/>
              <w:widowControl/>
              <w:suppressLineNumbers w:val="0"/>
              <w:jc w:val="left"/>
            </w:pPr>
            <w:r>
              <w:rPr>
                <w:rFonts w:ascii="宋体" w:hAnsi="宋体" w:eastAsia="宋体" w:cs="宋体"/>
                <w:kern w:val="0"/>
                <w:sz w:val="24"/>
                <w:szCs w:val="24"/>
                <w:lang w:val="en-US" w:eastAsia="zh-CN" w:bidi="ar"/>
              </w:rPr>
              <w:t>1. 纸质报告：每套报告出具正式纸质版</w:t>
            </w:r>
            <w:r>
              <w:rPr>
                <w:rFonts w:hint="eastAsia" w:ascii="宋体" w:hAnsi="宋体" w:eastAsia="宋体" w:cs="宋体"/>
                <w:kern w:val="0"/>
                <w:sz w:val="24"/>
                <w:szCs w:val="24"/>
                <w:lang w:val="en-US" w:eastAsia="zh-CN" w:bidi="ar"/>
              </w:rPr>
              <w:t>3</w:t>
            </w:r>
            <w:r>
              <w:rPr>
                <w:rFonts w:ascii="宋体" w:hAnsi="宋体" w:eastAsia="宋体" w:cs="宋体"/>
                <w:kern w:val="0"/>
                <w:sz w:val="24"/>
                <w:szCs w:val="24"/>
                <w:lang w:val="en-US" w:eastAsia="zh-CN" w:bidi="ar"/>
              </w:rPr>
              <w:t>套，加盖执业印章、签字齐全、格式规范；</w:t>
            </w:r>
          </w:p>
          <w:p w14:paraId="30686450">
            <w:pPr>
              <w:keepNext w:val="0"/>
              <w:keepLines w:val="0"/>
              <w:widowControl/>
              <w:suppressLineNumbers w:val="0"/>
              <w:jc w:val="left"/>
            </w:pPr>
            <w:r>
              <w:rPr>
                <w:rFonts w:ascii="宋体" w:hAnsi="宋体" w:eastAsia="宋体" w:cs="宋体"/>
                <w:kern w:val="0"/>
                <w:sz w:val="24"/>
                <w:szCs w:val="24"/>
                <w:lang w:val="en-US" w:eastAsia="zh-CN" w:bidi="ar"/>
              </w:rPr>
              <w:t>2. 电子资料：全套审计报告、底稿、问题清单、整改台账电子版归档交付；</w:t>
            </w:r>
          </w:p>
          <w:p w14:paraId="5E3C740F"/>
          <w:p w14:paraId="14A50142">
            <w:pPr>
              <w:keepNext w:val="0"/>
              <w:keepLines w:val="0"/>
              <w:pageBreakBefore w:val="0"/>
              <w:widowControl w:val="0"/>
              <w:numPr>
                <w:ilvl w:val="0"/>
                <w:numId w:val="0"/>
              </w:numPr>
              <w:kinsoku/>
              <w:wordWrap/>
              <w:overflowPunct/>
              <w:topLinePunct w:val="0"/>
              <w:autoSpaceDE/>
              <w:autoSpaceDN/>
              <w:bidi w:val="0"/>
              <w:adjustRightInd/>
              <w:snapToGrid/>
              <w:spacing w:before="61" w:line="400" w:lineRule="exact"/>
              <w:ind w:right="210" w:rightChars="0" w:firstLine="640" w:firstLineChars="200"/>
              <w:jc w:val="left"/>
              <w:textAlignment w:val="auto"/>
              <w:rPr>
                <w:rFonts w:hint="default" w:ascii="仿宋" w:hAnsi="仿宋" w:eastAsia="仿宋" w:cs="仿宋"/>
                <w:sz w:val="32"/>
                <w:szCs w:val="32"/>
                <w:lang w:val="en-US" w:eastAsia="zh-CN"/>
              </w:rPr>
            </w:pPr>
          </w:p>
        </w:tc>
        <w:tc>
          <w:tcPr>
            <w:tcW w:w="1260" w:type="dxa"/>
            <w:tcBorders>
              <w:top w:val="single" w:color="auto" w:sz="8" w:space="0"/>
              <w:left w:val="single" w:color="auto" w:sz="8" w:space="0"/>
              <w:bottom w:val="single" w:color="auto" w:sz="8" w:space="0"/>
              <w:right w:val="single" w:color="auto" w:sz="8" w:space="0"/>
            </w:tcBorders>
            <w:shd w:val="clear" w:color="auto" w:fill="FFFFFF"/>
            <w:vAlign w:val="center"/>
          </w:tcPr>
          <w:p w14:paraId="0810C750">
            <w:pPr>
              <w:spacing w:before="61"/>
              <w:ind w:right="208"/>
              <w:jc w:val="center"/>
              <w:rPr>
                <w:rFonts w:hint="default" w:ascii="仿宋" w:hAnsi="仿宋" w:eastAsia="仿宋" w:cs="仿宋"/>
                <w:kern w:val="2"/>
                <w:sz w:val="24"/>
                <w:szCs w:val="24"/>
                <w:vertAlign w:val="baseline"/>
                <w:lang w:val="en-US" w:eastAsia="zh-CN"/>
              </w:rPr>
            </w:pPr>
            <w:r>
              <w:rPr>
                <w:rFonts w:hint="eastAsia" w:ascii="仿宋" w:hAnsi="仿宋" w:eastAsia="仿宋" w:cs="仿宋"/>
                <w:kern w:val="2"/>
                <w:sz w:val="24"/>
                <w:szCs w:val="24"/>
                <w:vertAlign w:val="baseline"/>
                <w:lang w:val="en-US" w:eastAsia="zh-CN"/>
              </w:rPr>
              <w:t>自合同签订之日起至服务完成止</w:t>
            </w:r>
          </w:p>
        </w:tc>
        <w:tc>
          <w:tcPr>
            <w:tcW w:w="1047" w:type="dxa"/>
            <w:tcBorders>
              <w:top w:val="single" w:color="auto" w:sz="8" w:space="0"/>
              <w:left w:val="single" w:color="auto" w:sz="8" w:space="0"/>
              <w:bottom w:val="single" w:color="auto" w:sz="8" w:space="0"/>
              <w:right w:val="single" w:color="auto" w:sz="8" w:space="0"/>
            </w:tcBorders>
            <w:shd w:val="clear" w:color="auto" w:fill="FFFFFF"/>
            <w:vAlign w:val="center"/>
          </w:tcPr>
          <w:p w14:paraId="7F6F4F56">
            <w:pPr>
              <w:spacing w:before="61"/>
              <w:ind w:right="208"/>
              <w:jc w:val="center"/>
              <w:rPr>
                <w:rFonts w:hint="default" w:ascii="仿宋" w:hAnsi="仿宋" w:eastAsia="仿宋" w:cs="仿宋"/>
                <w:kern w:val="2"/>
                <w:sz w:val="24"/>
                <w:szCs w:val="24"/>
                <w:vertAlign w:val="baseline"/>
                <w:lang w:val="en-US" w:eastAsia="zh-CN"/>
              </w:rPr>
            </w:pPr>
            <w:r>
              <w:rPr>
                <w:rFonts w:hint="eastAsia" w:ascii="仿宋" w:hAnsi="仿宋" w:eastAsia="仿宋" w:cs="仿宋"/>
                <w:kern w:val="2"/>
                <w:sz w:val="24"/>
                <w:szCs w:val="24"/>
                <w:vertAlign w:val="baseline"/>
                <w:lang w:val="en-US" w:eastAsia="zh-CN"/>
              </w:rPr>
              <w:t>60000元</w:t>
            </w:r>
          </w:p>
        </w:tc>
      </w:tr>
    </w:tbl>
    <w:p w14:paraId="2E15B9FD">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default" w:ascii="黑体" w:hAnsi="黑体" w:eastAsia="黑体" w:cs="黑体"/>
          <w:sz w:val="32"/>
          <w:szCs w:val="32"/>
          <w:lang w:val="en-US" w:eastAsia="zh-CN"/>
        </w:rPr>
      </w:pPr>
    </w:p>
    <w:p w14:paraId="551E0F45">
      <w:pPr>
        <w:spacing w:before="48" w:line="236" w:lineRule="exact"/>
        <w:jc w:val="both"/>
        <w:rPr>
          <w:rFonts w:hint="eastAsia" w:ascii="仿宋" w:hAnsi="仿宋" w:eastAsia="仿宋" w:cs="仿宋"/>
          <w:b/>
          <w:bCs/>
          <w:color w:val="auto"/>
          <w:sz w:val="30"/>
          <w:szCs w:val="30"/>
          <w:highlight w:val="none"/>
          <w:lang w:val="en-US" w:eastAsia="zh-CN"/>
        </w:rPr>
      </w:pPr>
    </w:p>
    <w:p w14:paraId="5FB7BC7F">
      <w:pPr>
        <w:spacing w:before="48" w:line="236" w:lineRule="exact"/>
        <w:ind w:left="100"/>
        <w:jc w:val="center"/>
        <w:rPr>
          <w:rFonts w:hint="eastAsia" w:ascii="仿宋" w:hAnsi="仿宋" w:eastAsia="仿宋" w:cs="仿宋"/>
          <w:b/>
          <w:bCs/>
          <w:color w:val="auto"/>
          <w:sz w:val="30"/>
          <w:szCs w:val="30"/>
          <w:highlight w:val="none"/>
          <w:lang w:val="en-US" w:eastAsia="zh-CN"/>
        </w:rPr>
      </w:pPr>
    </w:p>
    <w:p w14:paraId="4AAABED2">
      <w:pPr>
        <w:spacing w:before="48" w:line="236" w:lineRule="exact"/>
        <w:ind w:left="100"/>
        <w:jc w:val="center"/>
        <w:rPr>
          <w:rFonts w:hint="eastAsia" w:ascii="仿宋" w:hAnsi="仿宋" w:eastAsia="仿宋" w:cs="仿宋"/>
          <w:b/>
          <w:bCs/>
          <w:color w:val="auto"/>
          <w:sz w:val="30"/>
          <w:szCs w:val="30"/>
          <w:highlight w:val="none"/>
          <w:lang w:val="en-US" w:eastAsia="zh-CN"/>
        </w:rPr>
      </w:pPr>
    </w:p>
    <w:p w14:paraId="5077BF7C">
      <w:pPr>
        <w:spacing w:before="48" w:line="236" w:lineRule="exact"/>
        <w:ind w:left="100"/>
        <w:jc w:val="center"/>
        <w:rPr>
          <w:rFonts w:hint="eastAsia" w:ascii="仿宋" w:hAnsi="仿宋" w:eastAsia="仿宋" w:cs="仿宋"/>
          <w:b/>
          <w:bCs/>
          <w:color w:val="auto"/>
          <w:sz w:val="30"/>
          <w:szCs w:val="30"/>
          <w:highlight w:val="none"/>
          <w:lang w:val="en-US" w:eastAsia="zh-CN"/>
        </w:rPr>
      </w:pPr>
    </w:p>
    <w:p w14:paraId="26782570">
      <w:pPr>
        <w:pStyle w:val="6"/>
        <w:rPr>
          <w:rFonts w:hint="eastAsia" w:ascii="仿宋" w:hAnsi="仿宋" w:eastAsia="仿宋" w:cs="仿宋"/>
          <w:b/>
          <w:bCs/>
          <w:color w:val="auto"/>
          <w:sz w:val="30"/>
          <w:szCs w:val="30"/>
          <w:highlight w:val="none"/>
          <w:lang w:val="en-US" w:eastAsia="zh-CN"/>
        </w:rPr>
      </w:pPr>
    </w:p>
    <w:p w14:paraId="3AEF8659">
      <w:pPr>
        <w:pStyle w:val="7"/>
        <w:rPr>
          <w:rFonts w:hint="eastAsia"/>
          <w:lang w:val="en-US" w:eastAsia="zh-CN"/>
        </w:rPr>
      </w:pPr>
    </w:p>
    <w:p w14:paraId="135CDC4E">
      <w:pPr>
        <w:pStyle w:val="6"/>
        <w:rPr>
          <w:rFonts w:hint="eastAsia"/>
          <w:lang w:val="en-US" w:eastAsia="zh-CN"/>
        </w:rPr>
        <w:sectPr>
          <w:type w:val="continuous"/>
          <w:pgSz w:w="11906" w:h="16838"/>
          <w:pgMar w:top="1440" w:right="1066" w:bottom="1293" w:left="1800" w:header="851" w:footer="992" w:gutter="0"/>
          <w:pgNumType w:fmt="numberInDash"/>
          <w:cols w:space="425" w:num="1"/>
          <w:docGrid w:type="lines" w:linePitch="312" w:charSpace="0"/>
        </w:sectPr>
      </w:pPr>
    </w:p>
    <w:p w14:paraId="04FCD529">
      <w:pPr>
        <w:spacing w:before="48" w:line="236" w:lineRule="exact"/>
        <w:ind w:left="100"/>
        <w:jc w:val="center"/>
        <w:rPr>
          <w:rFonts w:hint="eastAsia" w:ascii="仿宋" w:hAnsi="仿宋" w:eastAsia="仿宋" w:cs="仿宋"/>
          <w:b/>
          <w:bCs/>
          <w:color w:val="auto"/>
          <w:sz w:val="30"/>
          <w:szCs w:val="30"/>
          <w:highlight w:val="none"/>
          <w:lang w:val="en-US" w:eastAsia="zh-CN"/>
        </w:rPr>
      </w:pPr>
    </w:p>
    <w:p w14:paraId="5ABF6DC5">
      <w:pPr>
        <w:pStyle w:val="4"/>
        <w:jc w:val="both"/>
        <w:rPr>
          <w:rFonts w:hint="eastAsia" w:ascii="黑体" w:hAnsi="黑体" w:eastAsia="黑体" w:cs="仿宋"/>
          <w:bCs/>
          <w:sz w:val="36"/>
          <w:szCs w:val="36"/>
        </w:rPr>
      </w:pPr>
      <w:r>
        <w:rPr>
          <w:rFonts w:hint="eastAsia" w:ascii="黑体" w:hAnsi="黑体" w:eastAsia="黑体" w:cs="仿宋"/>
          <w:bCs/>
          <w:sz w:val="36"/>
          <w:szCs w:val="36"/>
          <w:lang w:val="en-US" w:eastAsia="zh-CN"/>
        </w:rPr>
        <w:t>四、</w:t>
      </w:r>
      <w:r>
        <w:rPr>
          <w:rFonts w:hint="eastAsia" w:ascii="黑体" w:hAnsi="黑体" w:eastAsia="黑体" w:cs="仿宋"/>
          <w:bCs/>
          <w:sz w:val="36"/>
          <w:szCs w:val="36"/>
        </w:rPr>
        <w:t>评标</w:t>
      </w:r>
      <w:r>
        <w:rPr>
          <w:rFonts w:hint="eastAsia" w:ascii="黑体" w:hAnsi="黑体" w:eastAsia="黑体" w:cs="仿宋"/>
          <w:bCs/>
          <w:sz w:val="36"/>
          <w:szCs w:val="36"/>
          <w:lang w:val="en-US" w:eastAsia="zh-CN"/>
        </w:rPr>
        <w:t>程序</w:t>
      </w:r>
      <w:r>
        <w:rPr>
          <w:rFonts w:hint="eastAsia" w:ascii="黑体" w:hAnsi="黑体" w:eastAsia="黑体" w:cs="仿宋"/>
          <w:bCs/>
          <w:sz w:val="36"/>
          <w:szCs w:val="36"/>
        </w:rPr>
        <w:t xml:space="preserve"> </w:t>
      </w:r>
    </w:p>
    <w:p w14:paraId="6BAD2CD7">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1.资格审查</w:t>
      </w:r>
    </w:p>
    <w:p w14:paraId="5E902F05">
      <w:pPr>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招采办在报名阶段进行资格审查，审查不合格将电话或邮件通知其结果。</w:t>
      </w:r>
    </w:p>
    <w:p w14:paraId="0B719958">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2.符合性审查 </w:t>
      </w:r>
    </w:p>
    <w:p w14:paraId="350EA178">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2.1依据招标文件的规定，从投标文件的有效性、完整性和对招标文件的响应程度进行审查，以确定是否满足招标文件的实质性要求。 </w:t>
      </w:r>
    </w:p>
    <w:p w14:paraId="552DA21D">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2.2符合性审查中有任意一项未通过的，审查结果为未通过。投标人未通过 符合性审查的，投标无效。</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8"/>
        <w:gridCol w:w="4148"/>
      </w:tblGrid>
      <w:tr w14:paraId="4DCD1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308CA2F7">
            <w:pPr>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投标报价</w:t>
            </w:r>
          </w:p>
        </w:tc>
        <w:tc>
          <w:tcPr>
            <w:tcW w:w="4261" w:type="dxa"/>
          </w:tcPr>
          <w:p w14:paraId="7C653CD0">
            <w:pPr>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有效报价且不超过采购预算或最高限价,投标报价不得缺项、漏项</w:t>
            </w:r>
          </w:p>
        </w:tc>
      </w:tr>
      <w:tr w14:paraId="0B00B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4EFAAD3C">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投标文件规范性、符合性</w:t>
            </w:r>
          </w:p>
        </w:tc>
        <w:tc>
          <w:tcPr>
            <w:tcW w:w="4261" w:type="dxa"/>
          </w:tcPr>
          <w:p w14:paraId="0E119CCB">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投标文件的签署、盖章、涂改、删除、插字、公章使 用等符合招标文件要求；投标文件的格式、文字、目 录等符合招标文件要求或对投标无实质性影响</w:t>
            </w:r>
          </w:p>
        </w:tc>
      </w:tr>
      <w:tr w14:paraId="7215B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224DEA04">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技术部分实质性内容</w:t>
            </w:r>
          </w:p>
        </w:tc>
        <w:tc>
          <w:tcPr>
            <w:tcW w:w="4261" w:type="dxa"/>
          </w:tcPr>
          <w:p w14:paraId="2CEFB5CF">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1.明确所投标的的产品品牌、规格型号或服务内容或 工程量；2.投标文件应当对招标文件提出的要求和条 件作出明确响应并满足招标文件全部实质性要求。</w:t>
            </w:r>
          </w:p>
        </w:tc>
      </w:tr>
      <w:tr w14:paraId="55AD7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2935A40B">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联合体投标</w:t>
            </w:r>
          </w:p>
        </w:tc>
        <w:tc>
          <w:tcPr>
            <w:tcW w:w="4261" w:type="dxa"/>
          </w:tcPr>
          <w:p w14:paraId="2436C21F">
            <w:pPr>
              <w:numPr>
                <w:ilvl w:val="0"/>
                <w:numId w:val="0"/>
              </w:num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本项目不接受联合体投标</w:t>
            </w:r>
          </w:p>
        </w:tc>
      </w:tr>
      <w:tr w14:paraId="797E5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4CBE24FA">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其他要求</w:t>
            </w:r>
          </w:p>
        </w:tc>
        <w:tc>
          <w:tcPr>
            <w:tcW w:w="4261" w:type="dxa"/>
          </w:tcPr>
          <w:p w14:paraId="3DCE5DBA">
            <w:pPr>
              <w:numPr>
                <w:ilvl w:val="0"/>
                <w:numId w:val="0"/>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招标文件要求的其他无效投标情形；围标、串标和法律法规规定的其他无效投标条款</w:t>
            </w:r>
          </w:p>
        </w:tc>
      </w:tr>
    </w:tbl>
    <w:p w14:paraId="4B47C594">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投标报价审查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 性的，评标委员会应当将其作为无效投标处理。</w:t>
      </w:r>
    </w:p>
    <w:p w14:paraId="043CEEAE">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3.详细评审 </w:t>
      </w:r>
    </w:p>
    <w:p w14:paraId="0E61A396">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本项目使用综合评分法进行评审：分为投标报价评审、商务部分评审、技术部分评审（得分四舍五入保留两位小数）。</w:t>
      </w:r>
    </w:p>
    <w:p w14:paraId="0DD3E57C">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汇总、排序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 名第一的中标候选人。 </w:t>
      </w:r>
    </w:p>
    <w:p w14:paraId="320D01C2">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确定中标人采购人或者评标委员会按照中标候选人名单顺序确定中标人。中标候选人 并列的，按采购人授权评标委员会按照评审原则直接确定中标（成交）人。规定的方式确定中标人。招标文件未规定的，采取随机抽取的方式确定</w:t>
      </w:r>
    </w:p>
    <w:p w14:paraId="37B92B9B">
      <w:pPr>
        <w:pStyle w:val="4"/>
        <w:numPr>
          <w:ilvl w:val="0"/>
          <w:numId w:val="0"/>
        </w:numPr>
        <w:ind w:firstLine="562" w:firstLineChars="200"/>
        <w:rPr>
          <w:rFonts w:ascii="仿宋" w:hAnsi="仿宋" w:eastAsia="仿宋" w:cs="仿宋"/>
          <w:b/>
          <w:bCs/>
          <w:color w:val="000000"/>
          <w:sz w:val="28"/>
          <w:szCs w:val="28"/>
        </w:rPr>
        <w:sectPr>
          <w:footerReference r:id="rId4" w:type="default"/>
          <w:pgSz w:w="11906" w:h="16838"/>
          <w:pgMar w:top="1440" w:right="1800" w:bottom="1440" w:left="1800" w:header="851" w:footer="992" w:gutter="0"/>
          <w:pgNumType w:fmt="numberInDash"/>
          <w:cols w:space="425" w:num="1"/>
          <w:docGrid w:type="lines" w:linePitch="312" w:charSpace="0"/>
        </w:sectPr>
      </w:pPr>
    </w:p>
    <w:tbl>
      <w:tblPr>
        <w:tblStyle w:val="14"/>
        <w:tblW w:w="102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032"/>
        <w:gridCol w:w="2025"/>
        <w:gridCol w:w="7188"/>
      </w:tblGrid>
      <w:tr w14:paraId="7E4663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1032" w:type="dxa"/>
            <w:vAlign w:val="center"/>
          </w:tcPr>
          <w:p w14:paraId="6243B2F6">
            <w:pPr>
              <w:keepNext w:val="0"/>
              <w:keepLines w:val="0"/>
              <w:pageBreakBefore w:val="0"/>
              <w:widowControl w:val="0"/>
              <w:kinsoku/>
              <w:wordWrap w:val="0"/>
              <w:overflowPunct/>
              <w:topLinePunct w:val="0"/>
              <w:autoSpaceDE w:val="0"/>
              <w:autoSpaceDN w:val="0"/>
              <w:bidi w:val="0"/>
              <w:adjustRightInd/>
              <w:snapToGrid/>
              <w:spacing w:line="380" w:lineRule="exact"/>
              <w:ind w:firstLine="0" w:firstLineChars="0"/>
              <w:jc w:val="center"/>
              <w:textAlignment w:val="auto"/>
              <w:rPr>
                <w:rFonts w:hint="eastAsia"/>
                <w:b/>
                <w:bCs/>
                <w:highlight w:val="none"/>
              </w:rPr>
            </w:pPr>
            <w:r>
              <w:rPr>
                <w:rFonts w:hint="eastAsia"/>
                <w:b/>
                <w:bCs/>
                <w:highlight w:val="none"/>
              </w:rPr>
              <w:t>评审因素</w:t>
            </w:r>
          </w:p>
        </w:tc>
        <w:tc>
          <w:tcPr>
            <w:tcW w:w="9213" w:type="dxa"/>
            <w:gridSpan w:val="2"/>
            <w:vAlign w:val="center"/>
          </w:tcPr>
          <w:p w14:paraId="2FFB2A3F">
            <w:pPr>
              <w:keepNext w:val="0"/>
              <w:keepLines w:val="0"/>
              <w:pageBreakBefore w:val="0"/>
              <w:widowControl w:val="0"/>
              <w:kinsoku/>
              <w:wordWrap w:val="0"/>
              <w:overflowPunct/>
              <w:topLinePunct w:val="0"/>
              <w:autoSpaceDE w:val="0"/>
              <w:autoSpaceDN w:val="0"/>
              <w:bidi w:val="0"/>
              <w:adjustRightInd/>
              <w:snapToGrid/>
              <w:spacing w:line="380" w:lineRule="exact"/>
              <w:ind w:firstLine="0" w:firstLineChars="0"/>
              <w:jc w:val="center"/>
              <w:textAlignment w:val="auto"/>
              <w:rPr>
                <w:rFonts w:hint="eastAsia"/>
                <w:b/>
                <w:bCs/>
                <w:highlight w:val="none"/>
              </w:rPr>
            </w:pPr>
            <w:r>
              <w:rPr>
                <w:rFonts w:hint="eastAsia"/>
                <w:b/>
                <w:bCs/>
                <w:highlight w:val="none"/>
              </w:rPr>
              <w:t>评审标准</w:t>
            </w:r>
          </w:p>
        </w:tc>
      </w:tr>
      <w:tr w14:paraId="533086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30" w:hRule="atLeast"/>
          <w:jc w:val="center"/>
        </w:trPr>
        <w:tc>
          <w:tcPr>
            <w:tcW w:w="1032" w:type="dxa"/>
            <w:vAlign w:val="center"/>
          </w:tcPr>
          <w:p w14:paraId="59629D0C">
            <w:pPr>
              <w:keepNext w:val="0"/>
              <w:keepLines w:val="0"/>
              <w:pageBreakBefore w:val="0"/>
              <w:widowControl w:val="0"/>
              <w:kinsoku/>
              <w:wordWrap w:val="0"/>
              <w:overflowPunct/>
              <w:topLinePunct w:val="0"/>
              <w:autoSpaceDE w:val="0"/>
              <w:autoSpaceDN w:val="0"/>
              <w:bidi w:val="0"/>
              <w:adjustRightInd/>
              <w:snapToGrid/>
              <w:spacing w:line="380" w:lineRule="exact"/>
              <w:ind w:firstLine="0" w:firstLineChars="0"/>
              <w:jc w:val="center"/>
              <w:textAlignment w:val="auto"/>
              <w:rPr>
                <w:rFonts w:hint="eastAsia"/>
                <w:highlight w:val="none"/>
              </w:rPr>
            </w:pPr>
            <w:r>
              <w:rPr>
                <w:rFonts w:hint="eastAsia"/>
                <w:highlight w:val="none"/>
              </w:rPr>
              <w:t>分值构成</w:t>
            </w:r>
          </w:p>
        </w:tc>
        <w:tc>
          <w:tcPr>
            <w:tcW w:w="9213" w:type="dxa"/>
            <w:gridSpan w:val="2"/>
            <w:vAlign w:val="center"/>
          </w:tcPr>
          <w:p w14:paraId="0B2E5068">
            <w:pPr>
              <w:keepNext w:val="0"/>
              <w:keepLines w:val="0"/>
              <w:pageBreakBefore w:val="0"/>
              <w:widowControl w:val="0"/>
              <w:kinsoku/>
              <w:wordWrap w:val="0"/>
              <w:overflowPunct/>
              <w:topLinePunct w:val="0"/>
              <w:autoSpaceDE w:val="0"/>
              <w:autoSpaceDN w:val="0"/>
              <w:bidi w:val="0"/>
              <w:adjustRightInd/>
              <w:snapToGrid/>
              <w:spacing w:line="380" w:lineRule="exact"/>
              <w:ind w:firstLine="0" w:firstLineChars="0"/>
              <w:jc w:val="left"/>
              <w:textAlignment w:val="auto"/>
              <w:rPr>
                <w:rFonts w:hint="eastAsia"/>
                <w:highlight w:val="none"/>
              </w:rPr>
            </w:pPr>
            <w:r>
              <w:rPr>
                <w:rFonts w:hint="eastAsia"/>
                <w:highlight w:val="none"/>
              </w:rPr>
              <w:t>技术部分</w:t>
            </w:r>
            <w:r>
              <w:rPr>
                <w:rFonts w:hint="eastAsia"/>
                <w:highlight w:val="none"/>
                <w:lang w:val="en-US" w:eastAsia="zh-CN"/>
              </w:rPr>
              <w:t>70</w:t>
            </w:r>
            <w:r>
              <w:rPr>
                <w:rFonts w:hint="eastAsia"/>
                <w:highlight w:val="none"/>
              </w:rPr>
              <w:t>分</w:t>
            </w:r>
          </w:p>
          <w:p w14:paraId="04063D18">
            <w:pPr>
              <w:keepNext w:val="0"/>
              <w:keepLines w:val="0"/>
              <w:pageBreakBefore w:val="0"/>
              <w:widowControl w:val="0"/>
              <w:kinsoku/>
              <w:wordWrap w:val="0"/>
              <w:overflowPunct/>
              <w:topLinePunct w:val="0"/>
              <w:autoSpaceDE w:val="0"/>
              <w:autoSpaceDN w:val="0"/>
              <w:bidi w:val="0"/>
              <w:adjustRightInd/>
              <w:snapToGrid/>
              <w:spacing w:line="380" w:lineRule="exact"/>
              <w:ind w:firstLine="0" w:firstLineChars="0"/>
              <w:jc w:val="left"/>
              <w:textAlignment w:val="auto"/>
              <w:rPr>
                <w:rFonts w:hint="eastAsia"/>
                <w:highlight w:val="none"/>
              </w:rPr>
            </w:pPr>
            <w:r>
              <w:rPr>
                <w:rFonts w:hint="eastAsia"/>
                <w:highlight w:val="none"/>
              </w:rPr>
              <w:t>商务部分</w:t>
            </w:r>
            <w:r>
              <w:rPr>
                <w:rFonts w:hint="eastAsia"/>
                <w:highlight w:val="none"/>
                <w:lang w:val="en-US" w:eastAsia="zh-CN"/>
              </w:rPr>
              <w:t>20</w:t>
            </w:r>
            <w:r>
              <w:rPr>
                <w:rFonts w:hint="eastAsia"/>
                <w:highlight w:val="none"/>
              </w:rPr>
              <w:t>分</w:t>
            </w:r>
          </w:p>
          <w:p w14:paraId="1CE506AF">
            <w:pPr>
              <w:keepNext w:val="0"/>
              <w:keepLines w:val="0"/>
              <w:pageBreakBefore w:val="0"/>
              <w:widowControl w:val="0"/>
              <w:kinsoku/>
              <w:wordWrap w:val="0"/>
              <w:overflowPunct/>
              <w:topLinePunct w:val="0"/>
              <w:autoSpaceDE w:val="0"/>
              <w:autoSpaceDN w:val="0"/>
              <w:bidi w:val="0"/>
              <w:adjustRightInd/>
              <w:snapToGrid/>
              <w:spacing w:line="380" w:lineRule="exact"/>
              <w:ind w:firstLine="0" w:firstLineChars="0"/>
              <w:jc w:val="left"/>
              <w:textAlignment w:val="auto"/>
              <w:rPr>
                <w:rFonts w:hint="eastAsia"/>
                <w:highlight w:val="none"/>
              </w:rPr>
            </w:pPr>
            <w:r>
              <w:rPr>
                <w:rFonts w:hint="eastAsia"/>
                <w:highlight w:val="none"/>
              </w:rPr>
              <w:t>报价得分</w:t>
            </w:r>
            <w:r>
              <w:rPr>
                <w:rFonts w:hint="eastAsia"/>
                <w:highlight w:val="none"/>
                <w:lang w:val="en-US" w:eastAsia="zh-CN"/>
              </w:rPr>
              <w:t>10</w:t>
            </w:r>
            <w:r>
              <w:rPr>
                <w:rFonts w:hint="eastAsia"/>
                <w:highlight w:val="none"/>
              </w:rPr>
              <w:t>分</w:t>
            </w:r>
          </w:p>
        </w:tc>
      </w:tr>
      <w:tr w14:paraId="12D663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24" w:hRule="atLeast"/>
          <w:jc w:val="center"/>
        </w:trPr>
        <w:tc>
          <w:tcPr>
            <w:tcW w:w="1032" w:type="dxa"/>
            <w:vMerge w:val="restart"/>
            <w:tcBorders>
              <w:top w:val="single" w:color="auto" w:sz="4" w:space="0"/>
              <w:left w:val="single" w:color="auto" w:sz="4" w:space="0"/>
              <w:right w:val="single" w:color="auto" w:sz="4" w:space="0"/>
            </w:tcBorders>
            <w:vAlign w:val="center"/>
          </w:tcPr>
          <w:p w14:paraId="2C393AE5">
            <w:pPr>
              <w:keepNext w:val="0"/>
              <w:keepLines w:val="0"/>
              <w:pageBreakBefore w:val="0"/>
              <w:widowControl w:val="0"/>
              <w:kinsoku/>
              <w:wordWrap w:val="0"/>
              <w:overflowPunct/>
              <w:topLinePunct w:val="0"/>
              <w:autoSpaceDE w:val="0"/>
              <w:autoSpaceDN w:val="0"/>
              <w:bidi w:val="0"/>
              <w:adjustRightInd/>
              <w:snapToGrid/>
              <w:spacing w:line="380" w:lineRule="exact"/>
              <w:ind w:firstLine="0" w:firstLineChars="0"/>
              <w:jc w:val="center"/>
              <w:textAlignment w:val="auto"/>
              <w:rPr>
                <w:rFonts w:hint="eastAsia"/>
              </w:rPr>
            </w:pPr>
            <w:r>
              <w:rPr>
                <w:rFonts w:hint="eastAsia"/>
              </w:rPr>
              <w:t>技术部分</w:t>
            </w:r>
          </w:p>
          <w:p w14:paraId="71A259BC">
            <w:pPr>
              <w:pStyle w:val="6"/>
              <w:rPr>
                <w:rFonts w:hint="eastAsia" w:eastAsiaTheme="minorEastAsia"/>
                <w:lang w:eastAsia="zh-CN"/>
              </w:rPr>
            </w:pPr>
            <w:r>
              <w:rPr>
                <w:rFonts w:hint="eastAsia"/>
                <w:lang w:eastAsia="zh-CN"/>
              </w:rPr>
              <w:t>（</w:t>
            </w:r>
            <w:r>
              <w:rPr>
                <w:rFonts w:hint="eastAsia"/>
                <w:lang w:val="en-US" w:eastAsia="zh-CN"/>
              </w:rPr>
              <w:t>70分</w:t>
            </w:r>
            <w:r>
              <w:rPr>
                <w:rFonts w:hint="eastAsia"/>
                <w:lang w:eastAsia="zh-CN"/>
              </w:rPr>
              <w:t>）</w:t>
            </w:r>
          </w:p>
        </w:tc>
        <w:tc>
          <w:tcPr>
            <w:tcW w:w="2025" w:type="dxa"/>
            <w:tcBorders>
              <w:top w:val="single" w:color="auto" w:sz="4" w:space="0"/>
              <w:left w:val="single" w:color="auto" w:sz="4" w:space="0"/>
              <w:right w:val="single" w:color="auto" w:sz="4" w:space="0"/>
            </w:tcBorders>
            <w:vAlign w:val="center"/>
          </w:tcPr>
          <w:p w14:paraId="23FE2D5D">
            <w:pPr>
              <w:keepNext w:val="0"/>
              <w:keepLines w:val="0"/>
              <w:pageBreakBefore w:val="0"/>
              <w:widowControl w:val="0"/>
              <w:kinsoku/>
              <w:wordWrap/>
              <w:overflowPunct/>
              <w:topLinePunct w:val="0"/>
              <w:autoSpaceDE/>
              <w:autoSpaceDN/>
              <w:bidi w:val="0"/>
              <w:adjustRightInd/>
              <w:snapToGrid/>
              <w:spacing w:line="380" w:lineRule="exact"/>
              <w:ind w:firstLine="0" w:firstLineChars="0"/>
              <w:jc w:val="center"/>
              <w:textAlignment w:val="auto"/>
              <w:rPr>
                <w:rFonts w:hint="eastAsia"/>
                <w:lang w:eastAsia="zh-CN"/>
              </w:rPr>
            </w:pPr>
            <w:r>
              <w:rPr>
                <w:rFonts w:hint="eastAsia" w:cs="宋体"/>
                <w:kern w:val="0"/>
                <w:sz w:val="24"/>
                <w:szCs w:val="24"/>
                <w:highlight w:val="none"/>
                <w:lang w:val="en-US" w:eastAsia="zh-CN"/>
              </w:rPr>
              <w:t>服务</w:t>
            </w:r>
            <w:bookmarkStart w:id="1" w:name="_GoBack"/>
            <w:bookmarkEnd w:id="1"/>
            <w:r>
              <w:rPr>
                <w:rFonts w:hint="eastAsia" w:cs="宋体"/>
                <w:kern w:val="0"/>
                <w:sz w:val="24"/>
                <w:szCs w:val="24"/>
                <w:highlight w:val="none"/>
                <w:lang w:val="en-US" w:eastAsia="zh-CN"/>
              </w:rPr>
              <w:t>方案（20分）</w:t>
            </w:r>
          </w:p>
        </w:tc>
        <w:tc>
          <w:tcPr>
            <w:tcW w:w="7188" w:type="dxa"/>
            <w:tcBorders>
              <w:left w:val="single" w:color="auto" w:sz="4" w:space="0"/>
            </w:tcBorders>
            <w:vAlign w:val="center"/>
          </w:tcPr>
          <w:p w14:paraId="485CBDF0">
            <w:pPr>
              <w:keepNext w:val="0"/>
              <w:keepLines w:val="0"/>
              <w:pageBreakBefore w:val="0"/>
              <w:widowControl/>
              <w:kinsoku/>
              <w:overflowPunct/>
              <w:topLinePunct w:val="0"/>
              <w:autoSpaceDE/>
              <w:autoSpaceDN/>
              <w:bidi w:val="0"/>
              <w:adjustRightInd/>
              <w:snapToGrid/>
              <w:spacing w:line="380" w:lineRule="exact"/>
              <w:ind w:left="0" w:leftChars="0" w:firstLine="0" w:firstLineChars="0"/>
              <w:jc w:val="left"/>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strike w:val="0"/>
                <w:dstrike w:val="0"/>
                <w:kern w:val="0"/>
                <w:sz w:val="24"/>
                <w:szCs w:val="24"/>
                <w:highlight w:val="none"/>
                <w:lang w:eastAsia="zh-CN"/>
              </w:rPr>
              <w:t>根据</w:t>
            </w:r>
            <w:r>
              <w:rPr>
                <w:rFonts w:hint="eastAsia" w:cs="宋体"/>
                <w:strike w:val="0"/>
                <w:dstrike w:val="0"/>
                <w:kern w:val="0"/>
                <w:sz w:val="24"/>
                <w:szCs w:val="24"/>
                <w:highlight w:val="none"/>
                <w:lang w:val="en-US" w:eastAsia="zh-CN"/>
              </w:rPr>
              <w:t>供应商提供的</w:t>
            </w:r>
            <w:r>
              <w:rPr>
                <w:rFonts w:hint="eastAsia" w:cs="宋体"/>
                <w:color w:val="000000"/>
                <w:kern w:val="0"/>
                <w:sz w:val="24"/>
                <w:szCs w:val="24"/>
                <w:highlight w:val="none"/>
                <w:lang w:val="en-US" w:eastAsia="zh-CN"/>
              </w:rPr>
              <w:t>服务方案进行评审：</w:t>
            </w:r>
            <w:r>
              <w:rPr>
                <w:rFonts w:hint="eastAsia" w:cs="宋体"/>
                <w:color w:val="000000"/>
                <w:kern w:val="0"/>
                <w:sz w:val="24"/>
                <w:szCs w:val="24"/>
                <w:highlight w:val="none"/>
                <w:lang w:val="en-US" w:eastAsia="zh-CN"/>
              </w:rPr>
              <w:br w:type="textWrapping"/>
            </w:r>
            <w:r>
              <w:rPr>
                <w:rFonts w:hint="eastAsia" w:cs="宋体"/>
                <w:color w:val="000000"/>
                <w:kern w:val="0"/>
                <w:sz w:val="24"/>
                <w:szCs w:val="24"/>
                <w:highlight w:val="none"/>
                <w:lang w:val="en-US" w:eastAsia="zh-CN"/>
              </w:rPr>
              <w:t>1、服务方案全面覆盖项目总体需求，完善、合理、有利于项目实施的得20分；</w:t>
            </w:r>
            <w:r>
              <w:rPr>
                <w:rFonts w:hint="eastAsia" w:cs="宋体"/>
                <w:color w:val="000000"/>
                <w:kern w:val="0"/>
                <w:sz w:val="24"/>
                <w:szCs w:val="24"/>
                <w:highlight w:val="none"/>
                <w:lang w:val="en-US" w:eastAsia="zh-CN"/>
              </w:rPr>
              <w:br w:type="textWrapping"/>
            </w:r>
            <w:r>
              <w:rPr>
                <w:rFonts w:hint="eastAsia" w:cs="宋体"/>
                <w:color w:val="000000"/>
                <w:kern w:val="0"/>
                <w:sz w:val="24"/>
                <w:szCs w:val="24"/>
                <w:highlight w:val="none"/>
                <w:lang w:val="en-US" w:eastAsia="zh-CN"/>
              </w:rPr>
              <w:t>2、服务方案较为符合项目总体需求，较完善、合理的得15分：</w:t>
            </w:r>
            <w:r>
              <w:rPr>
                <w:rFonts w:hint="eastAsia" w:cs="宋体"/>
                <w:color w:val="000000"/>
                <w:kern w:val="0"/>
                <w:sz w:val="24"/>
                <w:szCs w:val="24"/>
                <w:highlight w:val="none"/>
                <w:lang w:val="en-US" w:eastAsia="zh-CN"/>
              </w:rPr>
              <w:br w:type="textWrapping"/>
            </w:r>
            <w:r>
              <w:rPr>
                <w:rFonts w:hint="eastAsia" w:cs="宋体"/>
                <w:color w:val="000000"/>
                <w:kern w:val="0"/>
                <w:sz w:val="24"/>
                <w:szCs w:val="24"/>
                <w:highlight w:val="none"/>
                <w:lang w:val="en-US" w:eastAsia="zh-CN"/>
              </w:rPr>
              <w:t>3、服务方案有所阐述但不完全贴合总体需求，合理性及适用性一般的得10分；</w:t>
            </w:r>
            <w:r>
              <w:rPr>
                <w:rFonts w:hint="eastAsia" w:cs="宋体"/>
                <w:color w:val="000000"/>
                <w:kern w:val="0"/>
                <w:sz w:val="24"/>
                <w:szCs w:val="24"/>
                <w:highlight w:val="none"/>
                <w:lang w:val="en-US" w:eastAsia="zh-CN"/>
              </w:rPr>
              <w:br w:type="textWrapping"/>
            </w:r>
            <w:r>
              <w:rPr>
                <w:rFonts w:hint="eastAsia" w:cs="宋体"/>
                <w:color w:val="000000"/>
                <w:kern w:val="0"/>
                <w:sz w:val="24"/>
                <w:szCs w:val="24"/>
                <w:highlight w:val="none"/>
                <w:lang w:val="en-US" w:eastAsia="zh-CN"/>
              </w:rPr>
              <w:t>4、服务方案较差的得5分；</w:t>
            </w:r>
            <w:r>
              <w:rPr>
                <w:rFonts w:hint="eastAsia" w:cs="宋体"/>
                <w:color w:val="000000"/>
                <w:kern w:val="0"/>
                <w:sz w:val="24"/>
                <w:szCs w:val="24"/>
                <w:highlight w:val="none"/>
                <w:lang w:val="en-US" w:eastAsia="zh-CN"/>
              </w:rPr>
              <w:br w:type="textWrapping"/>
            </w:r>
            <w:r>
              <w:rPr>
                <w:rFonts w:hint="eastAsia" w:cs="宋体"/>
                <w:color w:val="000000"/>
                <w:kern w:val="0"/>
                <w:sz w:val="24"/>
                <w:szCs w:val="24"/>
                <w:highlight w:val="none"/>
                <w:lang w:val="en-US" w:eastAsia="zh-CN"/>
              </w:rPr>
              <w:t>5、</w:t>
            </w:r>
            <w:r>
              <w:rPr>
                <w:rFonts w:hint="eastAsia" w:ascii="宋体" w:hAnsi="宋体" w:eastAsia="宋体" w:cs="宋体"/>
                <w:strike w:val="0"/>
                <w:dstrike w:val="0"/>
                <w:kern w:val="0"/>
                <w:sz w:val="24"/>
                <w:szCs w:val="24"/>
                <w:highlight w:val="none"/>
                <w:lang w:eastAsia="zh-CN"/>
              </w:rPr>
              <w:t>未提供不得分</w:t>
            </w:r>
            <w:r>
              <w:rPr>
                <w:rFonts w:hint="eastAsia" w:cs="宋体"/>
                <w:strike w:val="0"/>
                <w:dstrike w:val="0"/>
                <w:kern w:val="0"/>
                <w:sz w:val="24"/>
                <w:szCs w:val="24"/>
                <w:highlight w:val="none"/>
                <w:lang w:eastAsia="zh-CN"/>
              </w:rPr>
              <w:t>，</w:t>
            </w:r>
            <w:r>
              <w:rPr>
                <w:rFonts w:hint="eastAsia" w:cs="宋体"/>
                <w:strike w:val="0"/>
                <w:dstrike w:val="0"/>
                <w:kern w:val="0"/>
                <w:sz w:val="24"/>
                <w:szCs w:val="24"/>
                <w:highlight w:val="none"/>
                <w:lang w:val="en-US" w:eastAsia="zh-CN"/>
              </w:rPr>
              <w:t>本项最高得20分。</w:t>
            </w:r>
          </w:p>
        </w:tc>
      </w:tr>
      <w:tr w14:paraId="639EFF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5" w:hRule="atLeast"/>
          <w:jc w:val="center"/>
        </w:trPr>
        <w:tc>
          <w:tcPr>
            <w:tcW w:w="1032" w:type="dxa"/>
            <w:vMerge w:val="continue"/>
            <w:tcBorders>
              <w:left w:val="single" w:color="auto" w:sz="4" w:space="0"/>
              <w:right w:val="single" w:color="auto" w:sz="4" w:space="0"/>
            </w:tcBorders>
            <w:vAlign w:val="center"/>
          </w:tcPr>
          <w:p w14:paraId="5906E71C">
            <w:pPr>
              <w:keepNext w:val="0"/>
              <w:keepLines w:val="0"/>
              <w:pageBreakBefore w:val="0"/>
              <w:widowControl w:val="0"/>
              <w:kinsoku/>
              <w:wordWrap w:val="0"/>
              <w:overflowPunct/>
              <w:topLinePunct w:val="0"/>
              <w:autoSpaceDE w:val="0"/>
              <w:autoSpaceDN w:val="0"/>
              <w:bidi w:val="0"/>
              <w:adjustRightInd/>
              <w:snapToGrid/>
              <w:spacing w:line="380" w:lineRule="exact"/>
              <w:ind w:firstLine="0" w:firstLineChars="0"/>
              <w:textAlignment w:val="auto"/>
              <w:rPr>
                <w:rFonts w:hint="eastAsia"/>
              </w:rPr>
            </w:pPr>
          </w:p>
        </w:tc>
        <w:tc>
          <w:tcPr>
            <w:tcW w:w="2025" w:type="dxa"/>
            <w:tcBorders>
              <w:top w:val="single" w:color="auto" w:sz="4" w:space="0"/>
              <w:left w:val="single" w:color="auto" w:sz="4" w:space="0"/>
              <w:bottom w:val="single" w:color="auto" w:sz="4" w:space="0"/>
              <w:right w:val="single" w:color="auto" w:sz="4" w:space="0"/>
            </w:tcBorders>
            <w:vAlign w:val="center"/>
          </w:tcPr>
          <w:p w14:paraId="0698FE44">
            <w:pPr>
              <w:keepNext w:val="0"/>
              <w:keepLines w:val="0"/>
              <w:pageBreakBefore w:val="0"/>
              <w:widowControl w:val="0"/>
              <w:kinsoku/>
              <w:wordWrap/>
              <w:overflowPunct/>
              <w:topLinePunct w:val="0"/>
              <w:autoSpaceDE/>
              <w:autoSpaceDN/>
              <w:bidi w:val="0"/>
              <w:adjustRightInd/>
              <w:snapToGrid/>
              <w:spacing w:line="380" w:lineRule="exact"/>
              <w:ind w:firstLine="0" w:firstLineChars="0"/>
              <w:jc w:val="center"/>
              <w:textAlignment w:val="auto"/>
              <w:rPr>
                <w:rFonts w:hint="eastAsia" w:ascii="宋体" w:hAnsi="宋体" w:eastAsia="宋体" w:cs="宋体"/>
                <w:kern w:val="0"/>
                <w:sz w:val="24"/>
                <w:szCs w:val="24"/>
                <w:highlight w:val="none"/>
                <w:lang w:val="en-US" w:eastAsia="zh-CN"/>
              </w:rPr>
            </w:pPr>
            <w:r>
              <w:rPr>
                <w:rFonts w:hint="eastAsia" w:cs="宋体"/>
                <w:kern w:val="0"/>
                <w:sz w:val="24"/>
                <w:szCs w:val="24"/>
                <w:highlight w:val="none"/>
                <w:lang w:val="en-US" w:eastAsia="zh-CN"/>
              </w:rPr>
              <w:t>服务</w:t>
            </w:r>
            <w:r>
              <w:rPr>
                <w:rFonts w:hint="eastAsia" w:ascii="宋体" w:hAnsi="宋体" w:eastAsia="宋体" w:cs="宋体"/>
                <w:kern w:val="0"/>
                <w:sz w:val="24"/>
                <w:szCs w:val="24"/>
                <w:highlight w:val="none"/>
                <w:lang w:val="en-US" w:eastAsia="zh-CN"/>
              </w:rPr>
              <w:t>质量</w:t>
            </w:r>
          </w:p>
          <w:p w14:paraId="0BC25185">
            <w:pPr>
              <w:keepNext w:val="0"/>
              <w:keepLines w:val="0"/>
              <w:pageBreakBefore w:val="0"/>
              <w:widowControl w:val="0"/>
              <w:kinsoku/>
              <w:wordWrap/>
              <w:overflowPunct/>
              <w:topLinePunct w:val="0"/>
              <w:autoSpaceDE/>
              <w:autoSpaceDN/>
              <w:bidi w:val="0"/>
              <w:adjustRightInd/>
              <w:snapToGrid/>
              <w:spacing w:line="380" w:lineRule="exact"/>
              <w:ind w:firstLine="0" w:firstLineChars="0"/>
              <w:jc w:val="center"/>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保障措施</w:t>
            </w:r>
          </w:p>
          <w:p w14:paraId="0C70A8A8">
            <w:pPr>
              <w:keepNext w:val="0"/>
              <w:keepLines w:val="0"/>
              <w:pageBreakBefore w:val="0"/>
              <w:widowControl w:val="0"/>
              <w:kinsoku/>
              <w:wordWrap/>
              <w:overflowPunct/>
              <w:topLinePunct w:val="0"/>
              <w:autoSpaceDE/>
              <w:autoSpaceDN/>
              <w:bidi w:val="0"/>
              <w:adjustRightInd/>
              <w:snapToGrid/>
              <w:spacing w:line="380" w:lineRule="exact"/>
              <w:ind w:firstLine="0" w:firstLineChars="0"/>
              <w:jc w:val="center"/>
              <w:textAlignment w:val="auto"/>
              <w:rPr>
                <w:rFonts w:hint="eastAsia" w:ascii="宋体" w:hAnsi="宋体" w:eastAsia="宋体" w:cs="宋体"/>
                <w:kern w:val="2"/>
                <w:sz w:val="24"/>
                <w:szCs w:val="24"/>
                <w:lang w:val="en-US" w:eastAsia="zh-CN" w:bidi="zh-CN"/>
              </w:rPr>
            </w:pPr>
            <w:r>
              <w:rPr>
                <w:rFonts w:hint="eastAsia" w:ascii="宋体" w:hAnsi="宋体" w:eastAsia="宋体" w:cs="宋体"/>
                <w:kern w:val="0"/>
                <w:sz w:val="24"/>
                <w:szCs w:val="24"/>
                <w:highlight w:val="none"/>
                <w:lang w:val="en-US" w:eastAsia="zh-CN"/>
              </w:rPr>
              <w:t>（</w:t>
            </w:r>
            <w:r>
              <w:rPr>
                <w:rFonts w:hint="eastAsia" w:cs="宋体"/>
                <w:kern w:val="0"/>
                <w:sz w:val="24"/>
                <w:szCs w:val="24"/>
                <w:highlight w:val="none"/>
                <w:lang w:val="en-US" w:eastAsia="zh-CN"/>
              </w:rPr>
              <w:t>15</w:t>
            </w:r>
            <w:r>
              <w:rPr>
                <w:rFonts w:hint="eastAsia" w:ascii="宋体" w:hAnsi="宋体" w:eastAsia="宋体" w:cs="宋体"/>
                <w:kern w:val="0"/>
                <w:sz w:val="24"/>
                <w:szCs w:val="24"/>
                <w:highlight w:val="none"/>
                <w:lang w:val="en-US" w:eastAsia="zh-CN"/>
              </w:rPr>
              <w:t>分）</w:t>
            </w:r>
          </w:p>
        </w:tc>
        <w:tc>
          <w:tcPr>
            <w:tcW w:w="7188" w:type="dxa"/>
            <w:tcBorders>
              <w:left w:val="single" w:color="auto" w:sz="4" w:space="0"/>
            </w:tcBorders>
            <w:vAlign w:val="center"/>
          </w:tcPr>
          <w:p w14:paraId="207CB7A8">
            <w:pPr>
              <w:keepNext w:val="0"/>
              <w:keepLines w:val="0"/>
              <w:widowControl/>
              <w:suppressLineNumbers w:val="0"/>
              <w:jc w:val="left"/>
              <w:rPr>
                <w:rFonts w:ascii="宋体" w:hAnsi="宋体" w:eastAsia="宋体" w:cs="宋体"/>
                <w:kern w:val="0"/>
                <w:sz w:val="24"/>
                <w:szCs w:val="24"/>
                <w:lang w:val="en-US" w:eastAsia="zh-CN" w:bidi="ar"/>
              </w:rPr>
            </w:pPr>
            <w:r>
              <w:rPr>
                <w:rFonts w:hint="eastAsia" w:ascii="宋体" w:hAnsi="宋体" w:eastAsia="宋体" w:cs="宋体"/>
                <w:strike w:val="0"/>
                <w:dstrike w:val="0"/>
                <w:kern w:val="0"/>
                <w:sz w:val="24"/>
                <w:szCs w:val="24"/>
                <w:highlight w:val="none"/>
                <w:lang w:eastAsia="zh-CN"/>
              </w:rPr>
              <w:t>根据</w:t>
            </w:r>
            <w:r>
              <w:rPr>
                <w:rFonts w:hint="eastAsia" w:cs="宋体"/>
                <w:strike w:val="0"/>
                <w:dstrike w:val="0"/>
                <w:kern w:val="0"/>
                <w:sz w:val="24"/>
                <w:szCs w:val="24"/>
                <w:highlight w:val="none"/>
                <w:lang w:val="en-US" w:eastAsia="zh-CN"/>
              </w:rPr>
              <w:t>供应商提供的</w:t>
            </w:r>
            <w:r>
              <w:rPr>
                <w:rFonts w:hint="eastAsia" w:cs="宋体"/>
                <w:color w:val="000000"/>
                <w:kern w:val="0"/>
                <w:sz w:val="24"/>
                <w:szCs w:val="24"/>
                <w:highlight w:val="none"/>
                <w:lang w:val="en-US" w:eastAsia="zh-CN"/>
              </w:rPr>
              <w:t>服务方案进行评审，</w:t>
            </w:r>
            <w:r>
              <w:rPr>
                <w:rFonts w:ascii="宋体" w:hAnsi="宋体" w:eastAsia="宋体" w:cs="宋体"/>
                <w:kern w:val="0"/>
                <w:sz w:val="24"/>
                <w:szCs w:val="24"/>
                <w:lang w:val="en-US" w:eastAsia="zh-CN" w:bidi="ar"/>
              </w:rPr>
              <w:t>保障措施不限于：审计全过程质量管控措施、审计服务时效保障措施、客户沟通与问题反馈处置措施、审计问题整改跟踪保障措施、服务失误补救及追责措施等全套服务质量保障方案</w:t>
            </w:r>
            <w:r>
              <w:rPr>
                <w:rFonts w:hint="eastAsia" w:ascii="宋体" w:hAnsi="宋体" w:eastAsia="宋体" w:cs="宋体"/>
                <w:kern w:val="0"/>
                <w:sz w:val="24"/>
                <w:szCs w:val="24"/>
                <w:lang w:val="en-US" w:eastAsia="zh-CN" w:bidi="ar"/>
              </w:rPr>
              <w:t>等</w:t>
            </w:r>
            <w:r>
              <w:rPr>
                <w:rFonts w:ascii="宋体" w:hAnsi="宋体" w:eastAsia="宋体" w:cs="宋体"/>
                <w:kern w:val="0"/>
                <w:sz w:val="24"/>
                <w:szCs w:val="24"/>
                <w:lang w:val="en-US" w:eastAsia="zh-CN" w:bidi="ar"/>
              </w:rPr>
              <w:t>。严格按照以下档次计分，总分15分。</w:t>
            </w:r>
          </w:p>
          <w:p w14:paraId="1248D78A">
            <w:pPr>
              <w:keepNext w:val="0"/>
              <w:keepLines w:val="0"/>
              <w:widowControl/>
              <w:suppressLineNumbers w:val="0"/>
              <w:jc w:val="left"/>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w:t>
            </w:r>
            <w:r>
              <w:rPr>
                <w:rFonts w:ascii="宋体" w:hAnsi="宋体" w:eastAsia="宋体" w:cs="宋体"/>
                <w:kern w:val="0"/>
                <w:sz w:val="24"/>
                <w:szCs w:val="24"/>
                <w:lang w:val="en-US" w:eastAsia="zh-CN" w:bidi="ar"/>
              </w:rPr>
              <w:t>服务质量保障措施完整全面、科学规范，全覆盖上述各项核心保障内容，措施细化落地、针对性强，覆盖审计服务全流程、各关键环节，服务质量管控目标、保障逻辑、执行流程、追责机制清晰明确，可全方位保障审计服务高质、合规、高效开展，得15分；</w:t>
            </w:r>
          </w:p>
          <w:p w14:paraId="480DDBF3">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2</w:t>
            </w:r>
            <w:r>
              <w:rPr>
                <w:rFonts w:hint="eastAsia" w:ascii="宋体" w:hAnsi="宋体" w:eastAsia="宋体" w:cs="宋体"/>
                <w:kern w:val="0"/>
                <w:sz w:val="24"/>
                <w:szCs w:val="24"/>
                <w:lang w:val="en-US" w:eastAsia="zh-CN" w:bidi="ar"/>
              </w:rPr>
              <w:t>、</w:t>
            </w:r>
            <w:r>
              <w:rPr>
                <w:rFonts w:ascii="宋体" w:hAnsi="宋体" w:eastAsia="宋体" w:cs="宋体"/>
                <w:kern w:val="0"/>
                <w:sz w:val="24"/>
                <w:szCs w:val="24"/>
                <w:lang w:val="en-US" w:eastAsia="zh-CN" w:bidi="ar"/>
              </w:rPr>
              <w:t>服务质量保障措施较为完整规范，包含绝大部分核心质量保障内容，审计关键服务环节均有对应的保障举措，内容覆盖面广、保障目标清晰，措施具备良好的落地性，可有效保障审计服务质量，得12分；</w:t>
            </w:r>
          </w:p>
          <w:p w14:paraId="4CEAA923">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3</w:t>
            </w:r>
            <w:r>
              <w:rPr>
                <w:rFonts w:hint="eastAsia" w:ascii="宋体" w:hAnsi="宋体" w:eastAsia="宋体" w:cs="宋体"/>
                <w:kern w:val="0"/>
                <w:sz w:val="24"/>
                <w:szCs w:val="24"/>
                <w:lang w:val="en-US" w:eastAsia="zh-CN" w:bidi="ar"/>
              </w:rPr>
              <w:t>、</w:t>
            </w:r>
            <w:r>
              <w:rPr>
                <w:rFonts w:ascii="宋体" w:hAnsi="宋体" w:eastAsia="宋体" w:cs="宋体"/>
                <w:kern w:val="0"/>
                <w:sz w:val="24"/>
                <w:szCs w:val="24"/>
                <w:lang w:val="en-US" w:eastAsia="zh-CN" w:bidi="ar"/>
              </w:rPr>
              <w:t>服务质量保障措施基本完整，核心质量保障举措齐全，主要审计服务环节均有对应的保障措施支撑，内容基本全面、保障目标基本明确，可满足常规审计服务质量管控需求，得9分；</w:t>
            </w:r>
          </w:p>
          <w:p w14:paraId="6692D56D">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4</w:t>
            </w:r>
            <w:r>
              <w:rPr>
                <w:rFonts w:hint="eastAsia" w:ascii="宋体" w:hAnsi="宋体" w:eastAsia="宋体" w:cs="宋体"/>
                <w:kern w:val="0"/>
                <w:sz w:val="24"/>
                <w:szCs w:val="24"/>
                <w:lang w:val="en-US" w:eastAsia="zh-CN" w:bidi="ar"/>
              </w:rPr>
              <w:t>、</w:t>
            </w:r>
            <w:r>
              <w:rPr>
                <w:rFonts w:ascii="宋体" w:hAnsi="宋体" w:eastAsia="宋体" w:cs="宋体"/>
                <w:kern w:val="0"/>
                <w:sz w:val="24"/>
                <w:szCs w:val="24"/>
                <w:lang w:val="en-US" w:eastAsia="zh-CN" w:bidi="ar"/>
              </w:rPr>
              <w:t>服务质量保障措施完整性一般，缺失部分次要服务保障举措，核心保障措施基本齐全，内容覆盖较为有限，质量保障目标表述笼统，仅可满足基础审计服务的基本质量要求，得6分；</w:t>
            </w:r>
          </w:p>
          <w:p w14:paraId="113CB150">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5</w:t>
            </w:r>
            <w:r>
              <w:rPr>
                <w:rFonts w:hint="eastAsia" w:ascii="宋体" w:hAnsi="宋体" w:eastAsia="宋体" w:cs="宋体"/>
                <w:kern w:val="0"/>
                <w:sz w:val="24"/>
                <w:szCs w:val="24"/>
                <w:lang w:val="en-US" w:eastAsia="zh-CN" w:bidi="ar"/>
              </w:rPr>
              <w:t>、</w:t>
            </w:r>
            <w:r>
              <w:rPr>
                <w:rFonts w:ascii="宋体" w:hAnsi="宋体" w:eastAsia="宋体" w:cs="宋体"/>
                <w:kern w:val="0"/>
                <w:sz w:val="24"/>
                <w:szCs w:val="24"/>
                <w:lang w:val="en-US" w:eastAsia="zh-CN" w:bidi="ar"/>
              </w:rPr>
              <w:t>服务质量保障措施不完善，核心质量保障举措存在缺失，覆盖关键服务环节不足，服务质量管控目标、保障逻辑不清晰，难以有效管控审计服务质量，得3分；</w:t>
            </w:r>
          </w:p>
          <w:p w14:paraId="3E6FD064">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SA"/>
              </w:rPr>
            </w:pPr>
            <w:r>
              <w:rPr>
                <w:rFonts w:ascii="宋体" w:hAnsi="宋体" w:eastAsia="宋体" w:cs="宋体"/>
                <w:kern w:val="0"/>
                <w:sz w:val="24"/>
                <w:szCs w:val="24"/>
                <w:lang w:val="en-US" w:eastAsia="zh-CN" w:bidi="ar"/>
              </w:rPr>
              <w:t>6</w:t>
            </w:r>
            <w:r>
              <w:rPr>
                <w:rFonts w:hint="eastAsia" w:ascii="宋体" w:hAnsi="宋体" w:eastAsia="宋体" w:cs="宋体"/>
                <w:kern w:val="0"/>
                <w:sz w:val="24"/>
                <w:szCs w:val="24"/>
                <w:lang w:val="en-US" w:eastAsia="zh-CN" w:bidi="ar"/>
              </w:rPr>
              <w:t>、</w:t>
            </w:r>
            <w:r>
              <w:rPr>
                <w:rFonts w:ascii="宋体" w:hAnsi="宋体" w:eastAsia="宋体" w:cs="宋体"/>
                <w:kern w:val="0"/>
                <w:sz w:val="24"/>
                <w:szCs w:val="24"/>
                <w:lang w:val="en-US" w:eastAsia="zh-CN" w:bidi="ar"/>
              </w:rPr>
              <w:t>未提供任何审计服务质量保障措施方案的，得0分。</w:t>
            </w:r>
          </w:p>
        </w:tc>
      </w:tr>
      <w:tr w14:paraId="556366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71" w:hRule="atLeast"/>
          <w:jc w:val="center"/>
        </w:trPr>
        <w:tc>
          <w:tcPr>
            <w:tcW w:w="1032" w:type="dxa"/>
            <w:vMerge w:val="continue"/>
            <w:tcBorders>
              <w:left w:val="single" w:color="auto" w:sz="4" w:space="0"/>
              <w:right w:val="single" w:color="auto" w:sz="4" w:space="0"/>
            </w:tcBorders>
            <w:vAlign w:val="center"/>
          </w:tcPr>
          <w:p w14:paraId="0CF8D8FA">
            <w:pPr>
              <w:keepNext w:val="0"/>
              <w:keepLines w:val="0"/>
              <w:pageBreakBefore w:val="0"/>
              <w:widowControl w:val="0"/>
              <w:kinsoku/>
              <w:wordWrap w:val="0"/>
              <w:overflowPunct/>
              <w:topLinePunct w:val="0"/>
              <w:autoSpaceDE w:val="0"/>
              <w:autoSpaceDN w:val="0"/>
              <w:bidi w:val="0"/>
              <w:adjustRightInd/>
              <w:snapToGrid/>
              <w:spacing w:line="380" w:lineRule="exact"/>
              <w:ind w:firstLine="0" w:firstLineChars="0"/>
              <w:textAlignment w:val="auto"/>
              <w:rPr>
                <w:rFonts w:hint="eastAsia"/>
              </w:rPr>
            </w:pPr>
          </w:p>
        </w:tc>
        <w:tc>
          <w:tcPr>
            <w:tcW w:w="2025" w:type="dxa"/>
            <w:tcBorders>
              <w:top w:val="single" w:color="auto" w:sz="4" w:space="0"/>
              <w:left w:val="single" w:color="auto" w:sz="4" w:space="0"/>
              <w:right w:val="single" w:color="auto" w:sz="4" w:space="0"/>
            </w:tcBorders>
            <w:vAlign w:val="center"/>
          </w:tcPr>
          <w:p w14:paraId="0AA6E249">
            <w:pPr>
              <w:keepNext w:val="0"/>
              <w:keepLines w:val="0"/>
              <w:pageBreakBefore w:val="0"/>
              <w:widowControl w:val="0"/>
              <w:kinsoku/>
              <w:wordWrap/>
              <w:overflowPunct/>
              <w:topLinePunct w:val="0"/>
              <w:autoSpaceDE/>
              <w:autoSpaceDN/>
              <w:bidi w:val="0"/>
              <w:adjustRightInd/>
              <w:snapToGrid/>
              <w:spacing w:line="380" w:lineRule="exact"/>
              <w:ind w:firstLine="0" w:firstLineChars="0"/>
              <w:jc w:val="center"/>
              <w:textAlignment w:val="auto"/>
              <w:rPr>
                <w:rFonts w:hint="default"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人员配置方案</w:t>
            </w:r>
            <w:r>
              <w:rPr>
                <w:rFonts w:hint="eastAsia" w:ascii="宋体" w:hAnsi="宋体" w:eastAsia="宋体" w:cs="宋体"/>
                <w:sz w:val="24"/>
                <w:szCs w:val="24"/>
                <w:lang w:eastAsia="zh-CN"/>
              </w:rPr>
              <w:br w:type="textWrapping"/>
            </w:r>
            <w:r>
              <w:rPr>
                <w:rFonts w:hint="eastAsia" w:ascii="宋体" w:hAnsi="宋体" w:eastAsia="宋体" w:cs="宋体"/>
                <w:strike w:val="0"/>
                <w:dstrike w:val="0"/>
                <w:color w:val="000000"/>
                <w:kern w:val="0"/>
                <w:sz w:val="24"/>
                <w:szCs w:val="24"/>
                <w:highlight w:val="none"/>
                <w:lang w:eastAsia="zh-CN"/>
              </w:rPr>
              <w:t>（</w:t>
            </w:r>
            <w:r>
              <w:rPr>
                <w:rFonts w:hint="eastAsia" w:cs="宋体"/>
                <w:strike w:val="0"/>
                <w:dstrike w:val="0"/>
                <w:color w:val="000000"/>
                <w:kern w:val="0"/>
                <w:sz w:val="24"/>
                <w:szCs w:val="24"/>
                <w:highlight w:val="none"/>
                <w:lang w:val="en-US" w:eastAsia="zh-CN"/>
              </w:rPr>
              <w:t>20</w:t>
            </w:r>
            <w:r>
              <w:rPr>
                <w:rFonts w:hint="eastAsia" w:ascii="宋体" w:hAnsi="宋体" w:eastAsia="宋体" w:cs="宋体"/>
                <w:kern w:val="0"/>
                <w:sz w:val="24"/>
                <w:szCs w:val="24"/>
                <w:highlight w:val="none"/>
                <w:lang w:val="en-US" w:eastAsia="zh-CN"/>
              </w:rPr>
              <w:t>分</w:t>
            </w:r>
            <w:r>
              <w:rPr>
                <w:rFonts w:hint="eastAsia" w:ascii="宋体" w:hAnsi="宋体" w:eastAsia="宋体" w:cs="宋体"/>
                <w:strike w:val="0"/>
                <w:dstrike w:val="0"/>
                <w:color w:val="000000"/>
                <w:kern w:val="0"/>
                <w:sz w:val="24"/>
                <w:szCs w:val="24"/>
                <w:highlight w:val="none"/>
                <w:lang w:eastAsia="zh-CN"/>
              </w:rPr>
              <w:t>）</w:t>
            </w:r>
          </w:p>
        </w:tc>
        <w:tc>
          <w:tcPr>
            <w:tcW w:w="7188" w:type="dxa"/>
            <w:tcBorders>
              <w:left w:val="single" w:color="auto" w:sz="4" w:space="0"/>
            </w:tcBorders>
            <w:vAlign w:val="center"/>
          </w:tcPr>
          <w:p w14:paraId="7D947318">
            <w:pPr>
              <w:keepNext w:val="0"/>
              <w:keepLines w:val="0"/>
              <w:widowControl/>
              <w:suppressLineNumbers w:val="0"/>
              <w:jc w:val="left"/>
              <w:rPr>
                <w:rFonts w:ascii="宋体" w:hAnsi="宋体" w:eastAsia="宋体" w:cs="宋体"/>
                <w:sz w:val="24"/>
                <w:szCs w:val="24"/>
              </w:rPr>
            </w:pPr>
            <w:r>
              <w:rPr>
                <w:rFonts w:ascii="宋体" w:hAnsi="宋体" w:eastAsia="宋体" w:cs="宋体"/>
                <w:sz w:val="24"/>
                <w:szCs w:val="24"/>
              </w:rPr>
              <w:t>根据投标人提供的</w:t>
            </w:r>
            <w:r>
              <w:rPr>
                <w:rFonts w:hint="eastAsia" w:ascii="宋体" w:hAnsi="宋体" w:eastAsia="宋体" w:cs="宋体"/>
                <w:sz w:val="24"/>
                <w:szCs w:val="24"/>
                <w:lang w:val="en-US" w:eastAsia="zh-CN"/>
              </w:rPr>
              <w:t>人员</w:t>
            </w:r>
            <w:r>
              <w:rPr>
                <w:rFonts w:ascii="宋体" w:hAnsi="宋体" w:eastAsia="宋体" w:cs="宋体"/>
                <w:sz w:val="24"/>
                <w:szCs w:val="24"/>
              </w:rPr>
              <w:t>配置方案（包含但不限于</w:t>
            </w:r>
            <w:r>
              <w:rPr>
                <w:rFonts w:ascii="宋体" w:hAnsi="宋体" w:eastAsia="宋体" w:cs="宋体"/>
                <w:kern w:val="0"/>
                <w:sz w:val="24"/>
                <w:szCs w:val="24"/>
                <w:lang w:val="en-US" w:eastAsia="zh-CN" w:bidi="ar"/>
              </w:rPr>
              <w:t>具备注册会计师</w:t>
            </w:r>
            <w:r>
              <w:rPr>
                <w:rFonts w:hint="eastAsia" w:ascii="宋体" w:hAnsi="宋体" w:eastAsia="宋体" w:cs="宋体"/>
                <w:kern w:val="0"/>
                <w:sz w:val="24"/>
                <w:szCs w:val="24"/>
                <w:lang w:val="en-US" w:eastAsia="zh-CN" w:bidi="ar"/>
              </w:rPr>
              <w:t>的</w:t>
            </w:r>
            <w:r>
              <w:rPr>
                <w:rFonts w:ascii="宋体" w:hAnsi="宋体" w:eastAsia="宋体" w:cs="宋体"/>
                <w:kern w:val="0"/>
                <w:sz w:val="24"/>
                <w:szCs w:val="24"/>
                <w:lang w:val="en-US" w:eastAsia="zh-CN" w:bidi="ar"/>
              </w:rPr>
              <w:t>项目负责人</w:t>
            </w:r>
            <w:r>
              <w:rPr>
                <w:rFonts w:hint="eastAsia" w:ascii="宋体" w:hAnsi="宋体" w:eastAsia="宋体" w:cs="宋体"/>
                <w:kern w:val="0"/>
                <w:sz w:val="24"/>
                <w:szCs w:val="24"/>
                <w:lang w:val="en-US" w:eastAsia="zh-CN" w:bidi="ar"/>
              </w:rPr>
              <w:t>，</w:t>
            </w:r>
            <w:r>
              <w:rPr>
                <w:rFonts w:ascii="宋体" w:hAnsi="宋体" w:eastAsia="宋体" w:cs="宋体"/>
                <w:kern w:val="0"/>
                <w:sz w:val="24"/>
                <w:szCs w:val="24"/>
                <w:highlight w:val="none"/>
                <w:lang w:val="en-US" w:eastAsia="zh-CN" w:bidi="ar"/>
              </w:rPr>
              <w:t>配备</w:t>
            </w:r>
            <w:r>
              <w:rPr>
                <w:rFonts w:hint="eastAsia" w:ascii="宋体" w:hAnsi="宋体" w:eastAsia="宋体" w:cs="宋体"/>
                <w:kern w:val="0"/>
                <w:sz w:val="24"/>
                <w:szCs w:val="24"/>
                <w:highlight w:val="none"/>
                <w:lang w:val="en-US" w:eastAsia="zh-CN" w:bidi="ar"/>
              </w:rPr>
              <w:t>具有从业经验的</w:t>
            </w:r>
            <w:r>
              <w:rPr>
                <w:rFonts w:ascii="宋体" w:hAnsi="宋体" w:eastAsia="宋体" w:cs="宋体"/>
                <w:kern w:val="0"/>
                <w:sz w:val="24"/>
                <w:szCs w:val="24"/>
                <w:highlight w:val="none"/>
                <w:lang w:val="en-US" w:eastAsia="zh-CN" w:bidi="ar"/>
              </w:rPr>
              <w:t>专职审计人员</w:t>
            </w:r>
            <w:r>
              <w:rPr>
                <w:rFonts w:hint="eastAsia" w:ascii="宋体" w:hAnsi="宋体" w:eastAsia="宋体" w:cs="宋体"/>
                <w:kern w:val="0"/>
                <w:sz w:val="24"/>
                <w:szCs w:val="24"/>
                <w:highlight w:val="none"/>
                <w:lang w:val="en-US" w:eastAsia="zh-CN" w:bidi="ar"/>
              </w:rPr>
              <w:t>等</w:t>
            </w:r>
            <w:r>
              <w:rPr>
                <w:rFonts w:ascii="宋体" w:hAnsi="宋体" w:eastAsia="宋体" w:cs="宋体"/>
                <w:sz w:val="24"/>
                <w:szCs w:val="24"/>
              </w:rPr>
              <w:t xml:space="preserve">）进行评审： </w:t>
            </w:r>
          </w:p>
          <w:p w14:paraId="782CA1BC">
            <w:pPr>
              <w:keepNext w:val="0"/>
              <w:keepLines w:val="0"/>
              <w:pageBreakBefore w:val="0"/>
              <w:widowControl/>
              <w:numPr>
                <w:ilvl w:val="0"/>
                <w:numId w:val="2"/>
              </w:numPr>
              <w:kinsoku/>
              <w:overflowPunct/>
              <w:topLinePunct w:val="0"/>
              <w:autoSpaceDE/>
              <w:autoSpaceDN/>
              <w:bidi w:val="0"/>
              <w:adjustRightInd/>
              <w:snapToGrid/>
              <w:spacing w:line="380" w:lineRule="exact"/>
              <w:ind w:left="0" w:leftChars="0" w:firstLine="0" w:firstLineChars="0"/>
              <w:jc w:val="left"/>
              <w:textAlignment w:val="auto"/>
              <w:rPr>
                <w:rFonts w:ascii="宋体" w:hAnsi="宋体" w:eastAsia="宋体" w:cs="宋体"/>
                <w:sz w:val="24"/>
                <w:szCs w:val="24"/>
              </w:rPr>
            </w:pPr>
            <w:r>
              <w:rPr>
                <w:rFonts w:ascii="宋体" w:hAnsi="宋体" w:eastAsia="宋体" w:cs="宋体"/>
                <w:sz w:val="24"/>
                <w:szCs w:val="24"/>
              </w:rPr>
              <w:t>项目拟投入人员</w:t>
            </w:r>
            <w:r>
              <w:rPr>
                <w:rFonts w:hint="eastAsia" w:ascii="宋体" w:hAnsi="宋体" w:eastAsia="宋体" w:cs="宋体"/>
                <w:sz w:val="24"/>
                <w:szCs w:val="24"/>
                <w:lang w:val="en-US" w:eastAsia="zh-CN"/>
              </w:rPr>
              <w:t>经验、</w:t>
            </w:r>
            <w:r>
              <w:rPr>
                <w:rFonts w:ascii="宋体" w:hAnsi="宋体" w:eastAsia="宋体" w:cs="宋体"/>
                <w:sz w:val="24"/>
                <w:szCs w:val="24"/>
              </w:rPr>
              <w:t>数量</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能力、业绩</w:t>
            </w:r>
            <w:r>
              <w:rPr>
                <w:rFonts w:ascii="宋体" w:hAnsi="宋体" w:eastAsia="宋体" w:cs="宋体"/>
                <w:sz w:val="24"/>
                <w:szCs w:val="24"/>
              </w:rPr>
              <w:t>，完全满足项目需求及服务要求得</w:t>
            </w:r>
            <w:r>
              <w:rPr>
                <w:rFonts w:hint="eastAsia" w:ascii="宋体" w:hAnsi="宋体" w:eastAsia="宋体" w:cs="宋体"/>
                <w:sz w:val="24"/>
                <w:szCs w:val="24"/>
                <w:lang w:val="en-US" w:eastAsia="zh-CN"/>
              </w:rPr>
              <w:t>20</w:t>
            </w:r>
            <w:r>
              <w:rPr>
                <w:rFonts w:ascii="宋体" w:hAnsi="宋体" w:eastAsia="宋体" w:cs="宋体"/>
                <w:sz w:val="24"/>
                <w:szCs w:val="24"/>
              </w:rPr>
              <w:t xml:space="preserve">分； </w:t>
            </w:r>
          </w:p>
          <w:p w14:paraId="046CEA9A">
            <w:pPr>
              <w:keepNext w:val="0"/>
              <w:keepLines w:val="0"/>
              <w:pageBreakBefore w:val="0"/>
              <w:widowControl/>
              <w:numPr>
                <w:ilvl w:val="0"/>
                <w:numId w:val="2"/>
              </w:numPr>
              <w:kinsoku/>
              <w:overflowPunct/>
              <w:topLinePunct w:val="0"/>
              <w:autoSpaceDE/>
              <w:autoSpaceDN/>
              <w:bidi w:val="0"/>
              <w:adjustRightInd/>
              <w:snapToGrid/>
              <w:spacing w:line="380" w:lineRule="exact"/>
              <w:ind w:left="0" w:leftChars="0" w:firstLine="0" w:firstLineChars="0"/>
              <w:jc w:val="left"/>
              <w:textAlignment w:val="auto"/>
              <w:rPr>
                <w:rFonts w:ascii="宋体" w:hAnsi="宋体" w:eastAsia="宋体" w:cs="宋体"/>
                <w:sz w:val="24"/>
                <w:szCs w:val="24"/>
              </w:rPr>
            </w:pPr>
            <w:r>
              <w:rPr>
                <w:rFonts w:ascii="宋体" w:hAnsi="宋体" w:eastAsia="宋体" w:cs="宋体"/>
                <w:sz w:val="24"/>
                <w:szCs w:val="24"/>
              </w:rPr>
              <w:t>项目拟投入人员</w:t>
            </w:r>
            <w:r>
              <w:rPr>
                <w:rFonts w:hint="eastAsia" w:ascii="宋体" w:hAnsi="宋体" w:eastAsia="宋体" w:cs="宋体"/>
                <w:sz w:val="24"/>
                <w:szCs w:val="24"/>
                <w:lang w:val="en-US" w:eastAsia="zh-CN"/>
              </w:rPr>
              <w:t>经验、</w:t>
            </w:r>
            <w:r>
              <w:rPr>
                <w:rFonts w:ascii="宋体" w:hAnsi="宋体" w:eastAsia="宋体" w:cs="宋体"/>
                <w:sz w:val="24"/>
                <w:szCs w:val="24"/>
              </w:rPr>
              <w:t>数量</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能力、业绩</w:t>
            </w:r>
            <w:r>
              <w:rPr>
                <w:rFonts w:ascii="宋体" w:hAnsi="宋体" w:eastAsia="宋体" w:cs="宋体"/>
                <w:sz w:val="24"/>
                <w:szCs w:val="24"/>
              </w:rPr>
              <w:t>，完全满足项目需求及服务要求得</w:t>
            </w:r>
            <w:r>
              <w:rPr>
                <w:rFonts w:hint="eastAsia" w:ascii="宋体" w:hAnsi="宋体" w:eastAsia="宋体" w:cs="宋体"/>
                <w:sz w:val="24"/>
                <w:szCs w:val="24"/>
                <w:lang w:val="en-US" w:eastAsia="zh-CN"/>
              </w:rPr>
              <w:t>15</w:t>
            </w:r>
            <w:r>
              <w:rPr>
                <w:rFonts w:ascii="宋体" w:hAnsi="宋体" w:eastAsia="宋体" w:cs="宋体"/>
                <w:sz w:val="24"/>
                <w:szCs w:val="24"/>
              </w:rPr>
              <w:t xml:space="preserve">分； </w:t>
            </w:r>
          </w:p>
          <w:p w14:paraId="43AAF516">
            <w:pPr>
              <w:keepNext w:val="0"/>
              <w:keepLines w:val="0"/>
              <w:pageBreakBefore w:val="0"/>
              <w:widowControl/>
              <w:numPr>
                <w:ilvl w:val="0"/>
                <w:numId w:val="2"/>
              </w:numPr>
              <w:kinsoku/>
              <w:overflowPunct/>
              <w:topLinePunct w:val="0"/>
              <w:autoSpaceDE/>
              <w:autoSpaceDN/>
              <w:bidi w:val="0"/>
              <w:adjustRightInd/>
              <w:snapToGrid/>
              <w:spacing w:line="380" w:lineRule="exact"/>
              <w:ind w:left="0" w:leftChars="0" w:firstLine="0" w:firstLineChars="0"/>
              <w:jc w:val="left"/>
              <w:textAlignment w:val="auto"/>
              <w:rPr>
                <w:rFonts w:ascii="宋体" w:hAnsi="宋体" w:eastAsia="宋体" w:cs="宋体"/>
                <w:sz w:val="24"/>
                <w:szCs w:val="24"/>
              </w:rPr>
            </w:pPr>
            <w:r>
              <w:rPr>
                <w:rFonts w:ascii="宋体" w:hAnsi="宋体" w:eastAsia="宋体" w:cs="宋体"/>
                <w:sz w:val="24"/>
                <w:szCs w:val="24"/>
              </w:rPr>
              <w:t>项目拟投入人员</w:t>
            </w:r>
            <w:r>
              <w:rPr>
                <w:rFonts w:hint="eastAsia" w:ascii="宋体" w:hAnsi="宋体" w:eastAsia="宋体" w:cs="宋体"/>
                <w:sz w:val="24"/>
                <w:szCs w:val="24"/>
                <w:lang w:val="en-US" w:eastAsia="zh-CN"/>
              </w:rPr>
              <w:t>经验、</w:t>
            </w:r>
            <w:r>
              <w:rPr>
                <w:rFonts w:ascii="宋体" w:hAnsi="宋体" w:eastAsia="宋体" w:cs="宋体"/>
                <w:sz w:val="24"/>
                <w:szCs w:val="24"/>
              </w:rPr>
              <w:t>数量</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能力、业绩</w:t>
            </w:r>
            <w:r>
              <w:rPr>
                <w:rFonts w:ascii="宋体" w:hAnsi="宋体" w:eastAsia="宋体" w:cs="宋体"/>
                <w:sz w:val="24"/>
                <w:szCs w:val="24"/>
              </w:rPr>
              <w:t>，完全满足项目需求及服务要求得</w:t>
            </w:r>
            <w:r>
              <w:rPr>
                <w:rFonts w:hint="eastAsia" w:ascii="宋体" w:hAnsi="宋体" w:eastAsia="宋体" w:cs="宋体"/>
                <w:sz w:val="24"/>
                <w:szCs w:val="24"/>
                <w:lang w:val="en-US" w:eastAsia="zh-CN"/>
              </w:rPr>
              <w:t>9</w:t>
            </w:r>
            <w:r>
              <w:rPr>
                <w:rFonts w:ascii="宋体" w:hAnsi="宋体" w:eastAsia="宋体" w:cs="宋体"/>
                <w:sz w:val="24"/>
                <w:szCs w:val="24"/>
              </w:rPr>
              <w:t>分；</w:t>
            </w:r>
          </w:p>
          <w:p w14:paraId="0FF2AEEF">
            <w:pPr>
              <w:keepNext w:val="0"/>
              <w:keepLines w:val="0"/>
              <w:pageBreakBefore w:val="0"/>
              <w:widowControl/>
              <w:numPr>
                <w:ilvl w:val="0"/>
                <w:numId w:val="2"/>
              </w:numPr>
              <w:kinsoku/>
              <w:overflowPunct/>
              <w:topLinePunct w:val="0"/>
              <w:autoSpaceDE/>
              <w:autoSpaceDN/>
              <w:bidi w:val="0"/>
              <w:adjustRightInd/>
              <w:snapToGrid/>
              <w:spacing w:line="380" w:lineRule="exact"/>
              <w:ind w:left="0" w:leftChars="0" w:firstLine="0" w:firstLineChars="0"/>
              <w:jc w:val="left"/>
              <w:textAlignment w:val="auto"/>
              <w:rPr>
                <w:rFonts w:ascii="宋体" w:hAnsi="宋体" w:eastAsia="宋体" w:cs="宋体"/>
                <w:sz w:val="24"/>
                <w:szCs w:val="24"/>
              </w:rPr>
            </w:pPr>
            <w:r>
              <w:rPr>
                <w:rFonts w:ascii="宋体" w:hAnsi="宋体" w:eastAsia="宋体" w:cs="宋体"/>
                <w:sz w:val="24"/>
                <w:szCs w:val="24"/>
              </w:rPr>
              <w:t>项目拟投入人员</w:t>
            </w:r>
            <w:r>
              <w:rPr>
                <w:rFonts w:hint="eastAsia" w:ascii="宋体" w:hAnsi="宋体" w:eastAsia="宋体" w:cs="宋体"/>
                <w:sz w:val="24"/>
                <w:szCs w:val="24"/>
                <w:lang w:val="en-US" w:eastAsia="zh-CN"/>
              </w:rPr>
              <w:t>经验、</w:t>
            </w:r>
            <w:r>
              <w:rPr>
                <w:rFonts w:ascii="宋体" w:hAnsi="宋体" w:eastAsia="宋体" w:cs="宋体"/>
                <w:sz w:val="24"/>
                <w:szCs w:val="24"/>
              </w:rPr>
              <w:t>数量</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能力、业绩</w:t>
            </w:r>
            <w:r>
              <w:rPr>
                <w:rFonts w:ascii="宋体" w:hAnsi="宋体" w:eastAsia="宋体" w:cs="宋体"/>
                <w:sz w:val="24"/>
                <w:szCs w:val="24"/>
              </w:rPr>
              <w:t>，完全满足项目需求及服务要求得6分；</w:t>
            </w:r>
          </w:p>
          <w:p w14:paraId="135F8B28">
            <w:pPr>
              <w:keepNext w:val="0"/>
              <w:keepLines w:val="0"/>
              <w:pageBreakBefore w:val="0"/>
              <w:widowControl/>
              <w:numPr>
                <w:ilvl w:val="0"/>
                <w:numId w:val="0"/>
              </w:numPr>
              <w:kinsoku/>
              <w:overflowPunct/>
              <w:topLinePunct w:val="0"/>
              <w:autoSpaceDE/>
              <w:autoSpaceDN/>
              <w:bidi w:val="0"/>
              <w:adjustRightInd/>
              <w:snapToGrid/>
              <w:spacing w:line="380" w:lineRule="exact"/>
              <w:ind w:leftChars="0"/>
              <w:jc w:val="left"/>
              <w:textAlignment w:val="auto"/>
              <w:rPr>
                <w:rFonts w:hint="eastAsia" w:ascii="宋体" w:hAnsi="宋体" w:eastAsia="宋体" w:cs="宋体"/>
                <w:color w:val="000000"/>
                <w:kern w:val="0"/>
                <w:sz w:val="24"/>
                <w:szCs w:val="24"/>
                <w:highlight w:val="none"/>
                <w:lang w:val="en-US" w:eastAsia="zh-CN" w:bidi="ar-SA"/>
              </w:rPr>
            </w:pPr>
            <w:r>
              <w:rPr>
                <w:rFonts w:ascii="宋体" w:hAnsi="宋体" w:eastAsia="宋体" w:cs="宋体"/>
                <w:sz w:val="24"/>
                <w:szCs w:val="24"/>
              </w:rPr>
              <w:t>5、未提供不得分， 本项最高得</w:t>
            </w:r>
            <w:r>
              <w:rPr>
                <w:rFonts w:hint="eastAsia" w:ascii="宋体" w:hAnsi="宋体" w:eastAsia="宋体" w:cs="宋体"/>
                <w:sz w:val="24"/>
                <w:szCs w:val="24"/>
                <w:lang w:val="en-US" w:eastAsia="zh-CN"/>
              </w:rPr>
              <w:t>20</w:t>
            </w:r>
            <w:r>
              <w:rPr>
                <w:rFonts w:ascii="宋体" w:hAnsi="宋体" w:eastAsia="宋体" w:cs="宋体"/>
                <w:sz w:val="24"/>
                <w:szCs w:val="24"/>
              </w:rPr>
              <w:t>分</w:t>
            </w:r>
          </w:p>
        </w:tc>
      </w:tr>
      <w:tr w14:paraId="60A099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87" w:hRule="atLeast"/>
          <w:jc w:val="center"/>
        </w:trPr>
        <w:tc>
          <w:tcPr>
            <w:tcW w:w="1032" w:type="dxa"/>
            <w:vMerge w:val="continue"/>
            <w:tcBorders>
              <w:left w:val="single" w:color="auto" w:sz="4" w:space="0"/>
              <w:right w:val="single" w:color="auto" w:sz="4" w:space="0"/>
            </w:tcBorders>
            <w:vAlign w:val="center"/>
          </w:tcPr>
          <w:p w14:paraId="5F443BB8">
            <w:pPr>
              <w:keepNext w:val="0"/>
              <w:keepLines w:val="0"/>
              <w:pageBreakBefore w:val="0"/>
              <w:widowControl w:val="0"/>
              <w:kinsoku/>
              <w:wordWrap w:val="0"/>
              <w:overflowPunct/>
              <w:topLinePunct w:val="0"/>
              <w:autoSpaceDE w:val="0"/>
              <w:autoSpaceDN w:val="0"/>
              <w:bidi w:val="0"/>
              <w:adjustRightInd/>
              <w:snapToGrid/>
              <w:spacing w:line="380" w:lineRule="exact"/>
              <w:ind w:firstLine="0" w:firstLineChars="0"/>
              <w:textAlignment w:val="auto"/>
              <w:rPr>
                <w:rFonts w:hint="eastAsia"/>
              </w:rPr>
            </w:pPr>
          </w:p>
        </w:tc>
        <w:tc>
          <w:tcPr>
            <w:tcW w:w="2025" w:type="dxa"/>
            <w:tcBorders>
              <w:top w:val="single" w:color="auto" w:sz="4" w:space="0"/>
              <w:left w:val="single" w:color="auto" w:sz="4" w:space="0"/>
              <w:right w:val="single" w:color="auto" w:sz="4" w:space="0"/>
            </w:tcBorders>
            <w:vAlign w:val="center"/>
          </w:tcPr>
          <w:p w14:paraId="35A0DF0C">
            <w:pPr>
              <w:keepNext w:val="0"/>
              <w:keepLines w:val="0"/>
              <w:pageBreakBefore w:val="0"/>
              <w:widowControl w:val="0"/>
              <w:kinsoku/>
              <w:wordWrap w:val="0"/>
              <w:overflowPunct/>
              <w:topLinePunct w:val="0"/>
              <w:autoSpaceDE/>
              <w:autoSpaceDN/>
              <w:bidi w:val="0"/>
              <w:adjustRightInd/>
              <w:snapToGrid/>
              <w:spacing w:line="360" w:lineRule="exact"/>
              <w:ind w:firstLine="0" w:firstLineChars="0"/>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规章制度（15分）</w:t>
            </w:r>
          </w:p>
        </w:tc>
        <w:tc>
          <w:tcPr>
            <w:tcW w:w="7188" w:type="dxa"/>
            <w:tcBorders>
              <w:left w:val="single" w:color="auto" w:sz="4" w:space="0"/>
            </w:tcBorders>
            <w:vAlign w:val="center"/>
          </w:tcPr>
          <w:p w14:paraId="0D503461">
            <w:pPr>
              <w:keepNext w:val="0"/>
              <w:keepLines w:val="0"/>
              <w:widowControl/>
              <w:suppressLineNumbers w:val="0"/>
              <w:jc w:val="left"/>
              <w:rPr>
                <w:rFonts w:hint="eastAsia" w:ascii="宋体" w:hAnsi="宋体" w:eastAsia="宋体" w:cs="宋体"/>
                <w:sz w:val="24"/>
                <w:szCs w:val="24"/>
                <w:lang w:val="en-US" w:eastAsia="zh-CN"/>
              </w:rPr>
            </w:pPr>
            <w:r>
              <w:rPr>
                <w:rFonts w:ascii="宋体" w:hAnsi="宋体" w:eastAsia="宋体" w:cs="宋体"/>
                <w:sz w:val="24"/>
                <w:szCs w:val="24"/>
              </w:rPr>
              <w:t>对投标人提供的规章制度进行评审，规章制度不限于以下内容：</w:t>
            </w:r>
            <w:r>
              <w:rPr>
                <w:rFonts w:ascii="宋体" w:hAnsi="宋体" w:eastAsia="宋体" w:cs="宋体"/>
                <w:kern w:val="0"/>
                <w:sz w:val="24"/>
                <w:szCs w:val="24"/>
                <w:lang w:val="en-US" w:eastAsia="zh-CN" w:bidi="ar"/>
              </w:rPr>
              <w:t>审计人员岗位管理制度、审计质量管控制度、审计工作流程管理制度、审计风险防控制度、审计档案管理制度、保密管理制度、审计服务廉洁从业管理制度等审计专项管理制度</w:t>
            </w:r>
            <w:r>
              <w:rPr>
                <w:rFonts w:ascii="宋体" w:hAnsi="宋体" w:eastAsia="宋体" w:cs="宋体"/>
                <w:sz w:val="24"/>
                <w:szCs w:val="24"/>
              </w:rPr>
              <w:t>等；规章制度完整、内容全面、目标明确，得15分；②规章制度较完整、内容较全面、目标较明确，得12分；③规章制度基本完整、内容基本全面、目标基本明确，得9分；④规章制度一般完整、内容一般全面、目标一般明确，得6分；⑤规章制度方案目标明确性不强，得3分；⑥未提供得0分。</w:t>
            </w:r>
          </w:p>
        </w:tc>
      </w:tr>
      <w:tr w14:paraId="5239DC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85" w:hRule="atLeast"/>
          <w:jc w:val="center"/>
        </w:trPr>
        <w:tc>
          <w:tcPr>
            <w:tcW w:w="1032" w:type="dxa"/>
            <w:tcBorders>
              <w:top w:val="single" w:color="auto" w:sz="4" w:space="0"/>
              <w:left w:val="single" w:color="auto" w:sz="4" w:space="0"/>
              <w:right w:val="single" w:color="auto" w:sz="4" w:space="0"/>
            </w:tcBorders>
            <w:vAlign w:val="center"/>
          </w:tcPr>
          <w:p w14:paraId="7DE74508">
            <w:pPr>
              <w:keepNext w:val="0"/>
              <w:keepLines w:val="0"/>
              <w:pageBreakBefore w:val="0"/>
              <w:widowControl w:val="0"/>
              <w:kinsoku/>
              <w:wordWrap w:val="0"/>
              <w:overflowPunct/>
              <w:topLinePunct w:val="0"/>
              <w:autoSpaceDE w:val="0"/>
              <w:autoSpaceDN w:val="0"/>
              <w:bidi w:val="0"/>
              <w:adjustRightInd/>
              <w:snapToGrid/>
              <w:spacing w:line="380" w:lineRule="exact"/>
              <w:ind w:firstLine="0" w:firstLineChars="0"/>
              <w:jc w:val="center"/>
              <w:textAlignment w:val="auto"/>
              <w:rPr>
                <w:rFonts w:hint="eastAsia"/>
              </w:rPr>
            </w:pPr>
            <w:r>
              <w:rPr>
                <w:rFonts w:hint="eastAsia"/>
              </w:rPr>
              <w:t>商务部分</w:t>
            </w:r>
          </w:p>
        </w:tc>
        <w:tc>
          <w:tcPr>
            <w:tcW w:w="2025" w:type="dxa"/>
            <w:tcBorders>
              <w:top w:val="single" w:color="auto" w:sz="4" w:space="0"/>
              <w:left w:val="single" w:color="auto" w:sz="4" w:space="0"/>
              <w:right w:val="single" w:color="auto" w:sz="4" w:space="0"/>
            </w:tcBorders>
            <w:vAlign w:val="center"/>
          </w:tcPr>
          <w:p w14:paraId="189AA432">
            <w:pPr>
              <w:keepNext w:val="0"/>
              <w:keepLines w:val="0"/>
              <w:pageBreakBefore w:val="0"/>
              <w:widowControl w:val="0"/>
              <w:kinsoku/>
              <w:wordWrap/>
              <w:overflowPunct/>
              <w:topLinePunct w:val="0"/>
              <w:autoSpaceDE/>
              <w:autoSpaceDN/>
              <w:bidi w:val="0"/>
              <w:adjustRightInd/>
              <w:snapToGrid/>
              <w:spacing w:line="380" w:lineRule="exact"/>
              <w:ind w:firstLine="0" w:firstLineChars="0"/>
              <w:jc w:val="center"/>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项目业绩</w:t>
            </w:r>
          </w:p>
          <w:p w14:paraId="592F2D64">
            <w:pPr>
              <w:keepNext w:val="0"/>
              <w:keepLines w:val="0"/>
              <w:pageBreakBefore w:val="0"/>
              <w:widowControl w:val="0"/>
              <w:kinsoku/>
              <w:wordWrap/>
              <w:overflowPunct/>
              <w:topLinePunct w:val="0"/>
              <w:autoSpaceDE/>
              <w:autoSpaceDN/>
              <w:bidi w:val="0"/>
              <w:adjustRightInd/>
              <w:snapToGrid/>
              <w:spacing w:line="380" w:lineRule="exact"/>
              <w:ind w:firstLine="0" w:firstLineChars="0"/>
              <w:jc w:val="center"/>
              <w:textAlignment w:val="auto"/>
              <w:rPr>
                <w:rFonts w:hint="eastAsia" w:eastAsia="宋体"/>
                <w:highlight w:val="none"/>
                <w:lang w:eastAsia="zh-CN"/>
              </w:rPr>
            </w:pPr>
            <w:r>
              <w:rPr>
                <w:rFonts w:hint="eastAsia" w:cs="宋体"/>
                <w:kern w:val="0"/>
                <w:sz w:val="24"/>
                <w:szCs w:val="24"/>
                <w:highlight w:val="none"/>
                <w:lang w:val="en-US" w:eastAsia="zh-CN"/>
              </w:rPr>
              <w:t>（20</w:t>
            </w:r>
            <w:r>
              <w:rPr>
                <w:rFonts w:hint="eastAsia" w:ascii="宋体" w:hAnsi="宋体" w:eastAsia="宋体" w:cs="宋体"/>
                <w:kern w:val="0"/>
                <w:sz w:val="24"/>
                <w:szCs w:val="24"/>
                <w:highlight w:val="none"/>
                <w:lang w:val="en-US" w:eastAsia="zh-CN"/>
              </w:rPr>
              <w:t>分</w:t>
            </w:r>
            <w:r>
              <w:rPr>
                <w:rFonts w:hint="eastAsia" w:cs="宋体"/>
                <w:kern w:val="0"/>
                <w:sz w:val="24"/>
                <w:szCs w:val="24"/>
                <w:highlight w:val="none"/>
                <w:lang w:val="en-US" w:eastAsia="zh-CN"/>
              </w:rPr>
              <w:t>）</w:t>
            </w:r>
          </w:p>
        </w:tc>
        <w:tc>
          <w:tcPr>
            <w:tcW w:w="7188" w:type="dxa"/>
            <w:tcBorders>
              <w:left w:val="single" w:color="auto" w:sz="4" w:space="0"/>
            </w:tcBorders>
            <w:vAlign w:val="center"/>
          </w:tcPr>
          <w:p w14:paraId="759CEE88">
            <w:pPr>
              <w:keepNext w:val="0"/>
              <w:keepLines w:val="0"/>
              <w:pageBreakBefore w:val="0"/>
              <w:widowControl/>
              <w:kinsoku/>
              <w:overflowPunct/>
              <w:topLinePunct w:val="0"/>
              <w:autoSpaceDE/>
              <w:autoSpaceDN/>
              <w:bidi w:val="0"/>
              <w:adjustRightInd/>
              <w:snapToGrid/>
              <w:spacing w:line="380" w:lineRule="exact"/>
              <w:ind w:left="0" w:leftChars="0" w:firstLine="0" w:firstLineChars="0"/>
              <w:jc w:val="left"/>
              <w:textAlignment w:val="auto"/>
              <w:rPr>
                <w:rFonts w:hint="eastAsia" w:ascii="宋体" w:hAnsi="宋体" w:eastAsia="宋体" w:cs="宋体"/>
                <w:strike w:val="0"/>
                <w:dstrike w:val="0"/>
                <w:kern w:val="0"/>
                <w:sz w:val="24"/>
                <w:szCs w:val="24"/>
                <w:highlight w:val="none"/>
                <w:lang w:val="en-US" w:eastAsia="zh-CN"/>
              </w:rPr>
            </w:pPr>
            <w:r>
              <w:rPr>
                <w:rFonts w:hint="eastAsia" w:ascii="宋体" w:hAnsi="宋体" w:eastAsia="宋体" w:cs="宋体"/>
                <w:sz w:val="24"/>
                <w:szCs w:val="24"/>
                <w:lang w:val="en-US" w:eastAsia="zh-CN"/>
              </w:rPr>
              <w:t>2</w:t>
            </w:r>
            <w:r>
              <w:rPr>
                <w:rFonts w:ascii="宋体" w:hAnsi="宋体" w:eastAsia="宋体" w:cs="宋体"/>
                <w:sz w:val="24"/>
                <w:szCs w:val="24"/>
              </w:rPr>
              <w:t>02</w:t>
            </w:r>
            <w:r>
              <w:rPr>
                <w:rFonts w:hint="eastAsia" w:ascii="宋体" w:hAnsi="宋体" w:eastAsia="宋体" w:cs="宋体"/>
                <w:sz w:val="24"/>
                <w:szCs w:val="24"/>
                <w:lang w:val="en-US" w:eastAsia="zh-CN"/>
              </w:rPr>
              <w:t>4</w:t>
            </w:r>
            <w:r>
              <w:rPr>
                <w:rFonts w:ascii="宋体" w:hAnsi="宋体" w:eastAsia="宋体" w:cs="宋体"/>
                <w:sz w:val="24"/>
                <w:szCs w:val="24"/>
              </w:rPr>
              <w:t>年1月1日至今（以合同签订时间为准）每提供一项不限规模不限合同价的同类业绩得3分，最多得</w:t>
            </w:r>
            <w:r>
              <w:rPr>
                <w:rFonts w:hint="eastAsia" w:ascii="宋体" w:hAnsi="宋体" w:eastAsia="宋体" w:cs="宋体"/>
                <w:sz w:val="24"/>
                <w:szCs w:val="24"/>
                <w:lang w:val="en-US" w:eastAsia="zh-CN"/>
              </w:rPr>
              <w:t>20</w:t>
            </w:r>
            <w:r>
              <w:rPr>
                <w:rFonts w:ascii="宋体" w:hAnsi="宋体" w:eastAsia="宋体" w:cs="宋体"/>
                <w:sz w:val="24"/>
                <w:szCs w:val="24"/>
              </w:rPr>
              <w:t>分，未提供不得分。（</w:t>
            </w:r>
            <w:r>
              <w:rPr>
                <w:rFonts w:hint="eastAsia" w:ascii="宋体" w:hAnsi="宋体" w:eastAsia="宋体" w:cs="宋体"/>
                <w:sz w:val="24"/>
                <w:szCs w:val="24"/>
                <w:lang w:val="en-US" w:eastAsia="zh-CN"/>
              </w:rPr>
              <w:t>响应</w:t>
            </w:r>
            <w:r>
              <w:rPr>
                <w:rFonts w:ascii="宋体" w:hAnsi="宋体" w:eastAsia="宋体" w:cs="宋体"/>
                <w:sz w:val="24"/>
                <w:szCs w:val="24"/>
              </w:rPr>
              <w:t>文件须附合同扫描件或复印件）</w:t>
            </w:r>
            <w:r>
              <w:rPr>
                <w:rFonts w:hint="eastAsia" w:ascii="宋体" w:hAnsi="宋体" w:eastAsia="宋体" w:cs="宋体"/>
                <w:strike w:val="0"/>
                <w:dstrike w:val="0"/>
                <w:kern w:val="0"/>
                <w:sz w:val="24"/>
                <w:szCs w:val="24"/>
                <w:highlight w:val="none"/>
                <w:lang w:val="en-US" w:eastAsia="zh-CN"/>
              </w:rPr>
              <w:t>。</w:t>
            </w:r>
          </w:p>
        </w:tc>
      </w:tr>
      <w:tr w14:paraId="0B0708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33" w:hRule="atLeast"/>
          <w:jc w:val="center"/>
        </w:trPr>
        <w:tc>
          <w:tcPr>
            <w:tcW w:w="1032" w:type="dxa"/>
            <w:vAlign w:val="center"/>
          </w:tcPr>
          <w:p w14:paraId="562C9F43">
            <w:pPr>
              <w:keepNext w:val="0"/>
              <w:keepLines w:val="0"/>
              <w:pageBreakBefore w:val="0"/>
              <w:widowControl w:val="0"/>
              <w:kinsoku/>
              <w:wordWrap w:val="0"/>
              <w:overflowPunct/>
              <w:topLinePunct w:val="0"/>
              <w:autoSpaceDE w:val="0"/>
              <w:autoSpaceDN w:val="0"/>
              <w:bidi w:val="0"/>
              <w:adjustRightInd/>
              <w:snapToGrid/>
              <w:spacing w:line="380" w:lineRule="exact"/>
              <w:ind w:firstLine="0" w:firstLineChars="0"/>
              <w:jc w:val="center"/>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磋商报价</w:t>
            </w:r>
          </w:p>
        </w:tc>
        <w:tc>
          <w:tcPr>
            <w:tcW w:w="2025" w:type="dxa"/>
            <w:vAlign w:val="center"/>
          </w:tcPr>
          <w:p w14:paraId="23F5153C">
            <w:pPr>
              <w:keepNext w:val="0"/>
              <w:keepLines w:val="0"/>
              <w:pageBreakBefore w:val="0"/>
              <w:widowControl w:val="0"/>
              <w:kinsoku/>
              <w:wordWrap w:val="0"/>
              <w:overflowPunct/>
              <w:topLinePunct w:val="0"/>
              <w:autoSpaceDE w:val="0"/>
              <w:autoSpaceDN w:val="0"/>
              <w:bidi w:val="0"/>
              <w:adjustRightInd/>
              <w:snapToGrid/>
              <w:spacing w:before="0" w:line="380" w:lineRule="exact"/>
              <w:ind w:firstLine="0" w:firstLineChars="0"/>
              <w:jc w:val="center"/>
              <w:textAlignment w:val="auto"/>
              <w:rPr>
                <w:rFonts w:hint="eastAsia" w:ascii="宋体" w:hAnsi="宋体" w:eastAsia="宋体" w:cs="宋体"/>
                <w:sz w:val="24"/>
                <w:szCs w:val="24"/>
                <w:highlight w:val="none"/>
                <w:lang w:val="zh-CN" w:eastAsia="zh-CN" w:bidi="zh-CN"/>
              </w:rPr>
            </w:pPr>
            <w:r>
              <w:rPr>
                <w:rFonts w:hint="eastAsia" w:cs="宋体"/>
                <w:sz w:val="24"/>
                <w:szCs w:val="24"/>
                <w:highlight w:val="none"/>
                <w:lang w:val="zh-CN" w:eastAsia="zh-CN" w:bidi="zh-CN"/>
              </w:rPr>
              <w:t>磋商报价</w:t>
            </w:r>
            <w:r>
              <w:rPr>
                <w:rFonts w:hint="eastAsia" w:ascii="宋体" w:hAnsi="宋体" w:eastAsia="宋体" w:cs="宋体"/>
                <w:sz w:val="24"/>
                <w:szCs w:val="24"/>
                <w:highlight w:val="none"/>
                <w:lang w:val="zh-CN" w:eastAsia="zh-CN" w:bidi="zh-CN"/>
              </w:rPr>
              <w:t>得分</w:t>
            </w:r>
          </w:p>
          <w:p w14:paraId="17B88628">
            <w:pPr>
              <w:keepNext w:val="0"/>
              <w:keepLines w:val="0"/>
              <w:pageBreakBefore w:val="0"/>
              <w:widowControl w:val="0"/>
              <w:kinsoku/>
              <w:wordWrap w:val="0"/>
              <w:overflowPunct/>
              <w:topLinePunct w:val="0"/>
              <w:autoSpaceDE w:val="0"/>
              <w:autoSpaceDN w:val="0"/>
              <w:bidi w:val="0"/>
              <w:adjustRightInd/>
              <w:snapToGrid/>
              <w:spacing w:before="0" w:line="380" w:lineRule="exact"/>
              <w:ind w:firstLine="0" w:firstLineChars="0"/>
              <w:jc w:val="center"/>
              <w:textAlignment w:val="auto"/>
              <w:rPr>
                <w:rFonts w:hint="eastAsia" w:ascii="宋体" w:hAnsi="宋体" w:eastAsia="宋体" w:cs="宋体"/>
                <w:sz w:val="24"/>
                <w:szCs w:val="24"/>
                <w:highlight w:val="none"/>
                <w:lang w:val="zh-CN" w:eastAsia="zh-CN" w:bidi="zh-CN"/>
              </w:rPr>
            </w:pPr>
            <w:r>
              <w:rPr>
                <w:rFonts w:hint="eastAsia" w:ascii="宋体" w:hAnsi="宋体" w:eastAsia="宋体" w:cs="宋体"/>
                <w:sz w:val="24"/>
                <w:szCs w:val="24"/>
                <w:highlight w:val="none"/>
                <w:lang w:val="zh-CN" w:eastAsia="zh-CN" w:bidi="zh-CN"/>
              </w:rPr>
              <w:t>（</w:t>
            </w:r>
            <w:r>
              <w:rPr>
                <w:rFonts w:hint="eastAsia" w:cs="宋体"/>
                <w:sz w:val="24"/>
                <w:szCs w:val="24"/>
                <w:highlight w:val="none"/>
                <w:lang w:val="en-US" w:eastAsia="zh-CN" w:bidi="zh-CN"/>
              </w:rPr>
              <w:t>10</w:t>
            </w:r>
            <w:r>
              <w:rPr>
                <w:rFonts w:hint="eastAsia" w:ascii="宋体" w:hAnsi="宋体" w:eastAsia="宋体" w:cs="宋体"/>
                <w:sz w:val="24"/>
                <w:szCs w:val="24"/>
                <w:highlight w:val="none"/>
                <w:lang w:val="zh-CN" w:eastAsia="zh-CN" w:bidi="zh-CN"/>
              </w:rPr>
              <w:t>分）</w:t>
            </w:r>
          </w:p>
        </w:tc>
        <w:tc>
          <w:tcPr>
            <w:tcW w:w="7188" w:type="dxa"/>
            <w:vAlign w:val="center"/>
          </w:tcPr>
          <w:p w14:paraId="1E721D24">
            <w:pPr>
              <w:keepNext w:val="0"/>
              <w:keepLines w:val="0"/>
              <w:pageBreakBefore w:val="0"/>
              <w:widowControl w:val="0"/>
              <w:kinsoku/>
              <w:wordWrap w:val="0"/>
              <w:overflowPunct/>
              <w:topLinePunct w:val="0"/>
              <w:autoSpaceDE/>
              <w:autoSpaceDN/>
              <w:bidi w:val="0"/>
              <w:adjustRightInd/>
              <w:snapToGrid/>
              <w:spacing w:line="380" w:lineRule="exact"/>
              <w:ind w:firstLine="0" w:firstLineChars="0"/>
              <w:textAlignment w:val="auto"/>
              <w:rPr>
                <w:rFonts w:hint="eastAsia"/>
                <w:lang w:val="en-US" w:eastAsia="zh-CN"/>
              </w:rPr>
            </w:pPr>
            <w:r>
              <w:rPr>
                <w:rFonts w:hint="eastAsia" w:ascii="宋体" w:hAnsi="宋体" w:eastAsia="宋体" w:cs="宋体"/>
                <w:color w:val="000000"/>
                <w:kern w:val="0"/>
                <w:sz w:val="24"/>
                <w:szCs w:val="24"/>
                <w:highlight w:val="none"/>
                <w:lang w:val="en-US" w:eastAsia="zh-CN"/>
              </w:rPr>
              <w:t>磋商报价得分＝（评标基准价/磋商报价）×价格分值</w:t>
            </w:r>
          </w:p>
          <w:p w14:paraId="140CD57C">
            <w:pPr>
              <w:keepNext w:val="0"/>
              <w:keepLines w:val="0"/>
              <w:pageBreakBefore w:val="0"/>
              <w:widowControl w:val="0"/>
              <w:kinsoku/>
              <w:wordWrap w:val="0"/>
              <w:overflowPunct/>
              <w:topLinePunct w:val="0"/>
              <w:autoSpaceDE/>
              <w:autoSpaceDN/>
              <w:bidi w:val="0"/>
              <w:adjustRightInd/>
              <w:snapToGrid/>
              <w:spacing w:line="380" w:lineRule="exact"/>
              <w:ind w:firstLine="0" w:firstLineChars="0"/>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最低报价不是</w:t>
            </w:r>
            <w:r>
              <w:rPr>
                <w:rFonts w:hint="eastAsia" w:cs="宋体"/>
                <w:color w:val="000000"/>
                <w:kern w:val="0"/>
                <w:sz w:val="24"/>
                <w:szCs w:val="24"/>
                <w:highlight w:val="none"/>
                <w:lang w:val="en-US" w:eastAsia="zh-CN"/>
              </w:rPr>
              <w:t>成交</w:t>
            </w:r>
            <w:r>
              <w:rPr>
                <w:rFonts w:hint="eastAsia" w:ascii="宋体" w:hAnsi="宋体" w:eastAsia="宋体" w:cs="宋体"/>
                <w:color w:val="000000"/>
                <w:kern w:val="0"/>
                <w:sz w:val="24"/>
                <w:szCs w:val="24"/>
                <w:highlight w:val="none"/>
                <w:lang w:val="en-US" w:eastAsia="zh-CN"/>
              </w:rPr>
              <w:t>的唯一依据。因落实政府采购政策进行价格调整的，以调整后的价格计算评标基准价和磋商报价。</w:t>
            </w:r>
          </w:p>
        </w:tc>
      </w:tr>
    </w:tbl>
    <w:p w14:paraId="7ED3F8A6">
      <w:pPr>
        <w:pStyle w:val="4"/>
        <w:numPr>
          <w:ilvl w:val="0"/>
          <w:numId w:val="0"/>
        </w:numPr>
        <w:ind w:firstLine="480" w:firstLineChars="200"/>
        <w:rPr>
          <w:rFonts w:ascii="宋体" w:hAnsi="宋体" w:eastAsia="宋体" w:cs="宋体"/>
          <w:sz w:val="24"/>
          <w:szCs w:val="24"/>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E2F59">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7D5E07">
                          <w:pPr>
                            <w:pStyle w:val="10"/>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67D5E07">
                    <w:pPr>
                      <w:pStyle w:val="10"/>
                    </w:pPr>
                    <w:r>
                      <w:fldChar w:fldCharType="begin"/>
                    </w:r>
                    <w:r>
                      <w:instrText xml:space="preserve"> PAGE  \* MERGEFORMAT </w:instrText>
                    </w:r>
                    <w:r>
                      <w:fldChar w:fldCharType="separate"/>
                    </w:r>
                    <w:r>
                      <w:t>- 5 -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FB5FD">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743260">
                          <w:pPr>
                            <w:pStyle w:val="10"/>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3743260">
                    <w:pPr>
                      <w:pStyle w:val="10"/>
                    </w:pPr>
                    <w:r>
                      <w:fldChar w:fldCharType="begin"/>
                    </w:r>
                    <w:r>
                      <w:instrText xml:space="preserve"> PAGE  \* MERGEFORMAT </w:instrText>
                    </w:r>
                    <w:r>
                      <w:fldChar w:fldCharType="separate"/>
                    </w:r>
                    <w:r>
                      <w:t>- 5 -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AB170D"/>
    <w:multiLevelType w:val="singleLevel"/>
    <w:tmpl w:val="89AB170D"/>
    <w:lvl w:ilvl="0" w:tentative="0">
      <w:start w:val="1"/>
      <w:numFmt w:val="decimal"/>
      <w:suff w:val="nothing"/>
      <w:lvlText w:val="%1、"/>
      <w:lvlJc w:val="left"/>
    </w:lvl>
  </w:abstractNum>
  <w:abstractNum w:abstractNumId="1">
    <w:nsid w:val="55ED7E4B"/>
    <w:multiLevelType w:val="singleLevel"/>
    <w:tmpl w:val="55ED7E4B"/>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I0YjRhODg1ZjY1ODNjNjFlYmE4ZWEwYmNjZWYxMmQifQ=="/>
  </w:docVars>
  <w:rsids>
    <w:rsidRoot w:val="2D35364D"/>
    <w:rsid w:val="00006E14"/>
    <w:rsid w:val="00032F82"/>
    <w:rsid w:val="0003422E"/>
    <w:rsid w:val="0003610E"/>
    <w:rsid w:val="00037C2E"/>
    <w:rsid w:val="00061DC9"/>
    <w:rsid w:val="000811D5"/>
    <w:rsid w:val="0008434B"/>
    <w:rsid w:val="000B6614"/>
    <w:rsid w:val="00111D8B"/>
    <w:rsid w:val="00121EB1"/>
    <w:rsid w:val="00133583"/>
    <w:rsid w:val="0014764B"/>
    <w:rsid w:val="001F2764"/>
    <w:rsid w:val="002064CB"/>
    <w:rsid w:val="00234541"/>
    <w:rsid w:val="0027320D"/>
    <w:rsid w:val="002735F6"/>
    <w:rsid w:val="002A2F63"/>
    <w:rsid w:val="002E3DCE"/>
    <w:rsid w:val="00300B18"/>
    <w:rsid w:val="00376591"/>
    <w:rsid w:val="003A5124"/>
    <w:rsid w:val="003B48D3"/>
    <w:rsid w:val="003B53FF"/>
    <w:rsid w:val="0040019F"/>
    <w:rsid w:val="00460183"/>
    <w:rsid w:val="00463AF9"/>
    <w:rsid w:val="004844F9"/>
    <w:rsid w:val="004E7B05"/>
    <w:rsid w:val="004F044C"/>
    <w:rsid w:val="004F055F"/>
    <w:rsid w:val="004F2117"/>
    <w:rsid w:val="0052200D"/>
    <w:rsid w:val="00526567"/>
    <w:rsid w:val="00532803"/>
    <w:rsid w:val="00535E20"/>
    <w:rsid w:val="00543E8F"/>
    <w:rsid w:val="00545D4B"/>
    <w:rsid w:val="0057640D"/>
    <w:rsid w:val="005B6A0A"/>
    <w:rsid w:val="005D3132"/>
    <w:rsid w:val="005D3A7D"/>
    <w:rsid w:val="0062593B"/>
    <w:rsid w:val="00651993"/>
    <w:rsid w:val="00682C29"/>
    <w:rsid w:val="00684950"/>
    <w:rsid w:val="006A0AD5"/>
    <w:rsid w:val="006A18AC"/>
    <w:rsid w:val="006A5C37"/>
    <w:rsid w:val="006E0843"/>
    <w:rsid w:val="006E3C76"/>
    <w:rsid w:val="00715FB2"/>
    <w:rsid w:val="00724288"/>
    <w:rsid w:val="00745705"/>
    <w:rsid w:val="00745A5E"/>
    <w:rsid w:val="00745E2E"/>
    <w:rsid w:val="00764326"/>
    <w:rsid w:val="007747DE"/>
    <w:rsid w:val="00776230"/>
    <w:rsid w:val="00783A7F"/>
    <w:rsid w:val="0078591B"/>
    <w:rsid w:val="007C5EB3"/>
    <w:rsid w:val="007D04C7"/>
    <w:rsid w:val="007D2E60"/>
    <w:rsid w:val="007D363C"/>
    <w:rsid w:val="007E51AD"/>
    <w:rsid w:val="008104E6"/>
    <w:rsid w:val="00877786"/>
    <w:rsid w:val="00882FF9"/>
    <w:rsid w:val="00886621"/>
    <w:rsid w:val="008A3E4B"/>
    <w:rsid w:val="008A6838"/>
    <w:rsid w:val="008B5615"/>
    <w:rsid w:val="008D318E"/>
    <w:rsid w:val="008E10F5"/>
    <w:rsid w:val="00902A09"/>
    <w:rsid w:val="00904D99"/>
    <w:rsid w:val="00925D30"/>
    <w:rsid w:val="00942496"/>
    <w:rsid w:val="009B44FA"/>
    <w:rsid w:val="009B47F7"/>
    <w:rsid w:val="009D695F"/>
    <w:rsid w:val="00A16360"/>
    <w:rsid w:val="00A91533"/>
    <w:rsid w:val="00A93874"/>
    <w:rsid w:val="00B00625"/>
    <w:rsid w:val="00B15F08"/>
    <w:rsid w:val="00B40BE0"/>
    <w:rsid w:val="00B63B2C"/>
    <w:rsid w:val="00C24B00"/>
    <w:rsid w:val="00C26433"/>
    <w:rsid w:val="00C327CE"/>
    <w:rsid w:val="00C40988"/>
    <w:rsid w:val="00C43D7C"/>
    <w:rsid w:val="00C95AF1"/>
    <w:rsid w:val="00CA3865"/>
    <w:rsid w:val="00CF7B32"/>
    <w:rsid w:val="00D127CC"/>
    <w:rsid w:val="00D23E64"/>
    <w:rsid w:val="00D26ADD"/>
    <w:rsid w:val="00D3086F"/>
    <w:rsid w:val="00D31254"/>
    <w:rsid w:val="00D4653D"/>
    <w:rsid w:val="00D639B0"/>
    <w:rsid w:val="00D93673"/>
    <w:rsid w:val="00E12278"/>
    <w:rsid w:val="00E24680"/>
    <w:rsid w:val="00E65780"/>
    <w:rsid w:val="00E74727"/>
    <w:rsid w:val="00EB0DDB"/>
    <w:rsid w:val="00EB3468"/>
    <w:rsid w:val="00EB5915"/>
    <w:rsid w:val="00F03E4D"/>
    <w:rsid w:val="00F1527E"/>
    <w:rsid w:val="00F70084"/>
    <w:rsid w:val="00FB3FD9"/>
    <w:rsid w:val="00FF6E58"/>
    <w:rsid w:val="02932377"/>
    <w:rsid w:val="084C708D"/>
    <w:rsid w:val="0A55718B"/>
    <w:rsid w:val="0B363C16"/>
    <w:rsid w:val="0B786BBF"/>
    <w:rsid w:val="0C00660B"/>
    <w:rsid w:val="0C7B711F"/>
    <w:rsid w:val="0E003644"/>
    <w:rsid w:val="10C304B2"/>
    <w:rsid w:val="10CA10DF"/>
    <w:rsid w:val="11673694"/>
    <w:rsid w:val="11F005AA"/>
    <w:rsid w:val="12A765DC"/>
    <w:rsid w:val="12EA5D39"/>
    <w:rsid w:val="13D84274"/>
    <w:rsid w:val="14293514"/>
    <w:rsid w:val="15F46022"/>
    <w:rsid w:val="16663787"/>
    <w:rsid w:val="16A90D48"/>
    <w:rsid w:val="1B1304DC"/>
    <w:rsid w:val="1B1929F7"/>
    <w:rsid w:val="1D20150B"/>
    <w:rsid w:val="1D351240"/>
    <w:rsid w:val="1DAD187C"/>
    <w:rsid w:val="202645B9"/>
    <w:rsid w:val="23D67F9B"/>
    <w:rsid w:val="25E71384"/>
    <w:rsid w:val="29534C58"/>
    <w:rsid w:val="2ADC0FB6"/>
    <w:rsid w:val="2C493125"/>
    <w:rsid w:val="2D35364D"/>
    <w:rsid w:val="2DE542D2"/>
    <w:rsid w:val="2F854E58"/>
    <w:rsid w:val="309900FB"/>
    <w:rsid w:val="320A29C9"/>
    <w:rsid w:val="337115B2"/>
    <w:rsid w:val="352C35CA"/>
    <w:rsid w:val="35DA3A24"/>
    <w:rsid w:val="375A4E1C"/>
    <w:rsid w:val="3D223AD0"/>
    <w:rsid w:val="3F9A24C3"/>
    <w:rsid w:val="40BF0639"/>
    <w:rsid w:val="42772083"/>
    <w:rsid w:val="43BC51DB"/>
    <w:rsid w:val="44983FC9"/>
    <w:rsid w:val="44B953D3"/>
    <w:rsid w:val="46E2098A"/>
    <w:rsid w:val="487E65E2"/>
    <w:rsid w:val="4B5160DF"/>
    <w:rsid w:val="4B625472"/>
    <w:rsid w:val="4BF26F96"/>
    <w:rsid w:val="4CFD4548"/>
    <w:rsid w:val="4D957C46"/>
    <w:rsid w:val="4E183B5F"/>
    <w:rsid w:val="52131E30"/>
    <w:rsid w:val="52791558"/>
    <w:rsid w:val="52F67C97"/>
    <w:rsid w:val="54BF64A2"/>
    <w:rsid w:val="55C776C9"/>
    <w:rsid w:val="57323268"/>
    <w:rsid w:val="574F651C"/>
    <w:rsid w:val="57811AFA"/>
    <w:rsid w:val="59105CF4"/>
    <w:rsid w:val="59B37CF5"/>
    <w:rsid w:val="5B0C652F"/>
    <w:rsid w:val="5BBD056E"/>
    <w:rsid w:val="5DF91422"/>
    <w:rsid w:val="5E1C257C"/>
    <w:rsid w:val="5EAD348F"/>
    <w:rsid w:val="60F90F48"/>
    <w:rsid w:val="619C6F40"/>
    <w:rsid w:val="61D429F9"/>
    <w:rsid w:val="63B20CCB"/>
    <w:rsid w:val="642F4DB7"/>
    <w:rsid w:val="67BE4BF8"/>
    <w:rsid w:val="6BF727FC"/>
    <w:rsid w:val="6CA853A6"/>
    <w:rsid w:val="70ED2322"/>
    <w:rsid w:val="71B264CC"/>
    <w:rsid w:val="74BC5A2B"/>
    <w:rsid w:val="74FD680C"/>
    <w:rsid w:val="76BF2864"/>
    <w:rsid w:val="79B0134A"/>
    <w:rsid w:val="7A537AA0"/>
    <w:rsid w:val="7A5B1672"/>
    <w:rsid w:val="7AD320E1"/>
    <w:rsid w:val="7B7278C7"/>
    <w:rsid w:val="7BEB063D"/>
    <w:rsid w:val="7C7D19E6"/>
    <w:rsid w:val="7E2C7CF9"/>
    <w:rsid w:val="7F1C0849"/>
    <w:rsid w:val="7F263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link w:val="21"/>
    <w:autoRedefine/>
    <w:qFormat/>
    <w:uiPriority w:val="0"/>
    <w:pPr>
      <w:spacing w:line="360" w:lineRule="auto"/>
      <w:ind w:firstLine="420" w:firstLineChars="200"/>
    </w:pPr>
    <w:rPr>
      <w:rFonts w:ascii="Times New Roman" w:hAnsi="Times New Roman" w:eastAsia="宋体" w:cs="Times New Roman"/>
      <w:sz w:val="24"/>
    </w:rPr>
  </w:style>
  <w:style w:type="paragraph" w:styleId="5">
    <w:name w:val="annotation text"/>
    <w:basedOn w:val="1"/>
    <w:semiHidden/>
    <w:unhideWhenUsed/>
    <w:qFormat/>
    <w:uiPriority w:val="99"/>
    <w:pPr>
      <w:jc w:val="left"/>
    </w:pPr>
  </w:style>
  <w:style w:type="paragraph" w:styleId="6">
    <w:name w:val="Body Text"/>
    <w:basedOn w:val="1"/>
    <w:next w:val="7"/>
    <w:autoRedefine/>
    <w:unhideWhenUsed/>
    <w:qFormat/>
    <w:uiPriority w:val="1"/>
    <w:pPr>
      <w:spacing w:after="120"/>
    </w:pPr>
  </w:style>
  <w:style w:type="paragraph" w:styleId="7">
    <w:name w:val="header"/>
    <w:basedOn w:val="1"/>
    <w:next w:val="8"/>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Quote1"/>
    <w:basedOn w:val="1"/>
    <w:next w:val="1"/>
    <w:autoRedefine/>
    <w:qFormat/>
    <w:uiPriority w:val="99"/>
    <w:pPr>
      <w:widowControl/>
      <w:wordWrap w:val="0"/>
      <w:spacing w:before="200" w:after="160"/>
      <w:ind w:left="864" w:right="864"/>
      <w:jc w:val="center"/>
    </w:pPr>
    <w:rPr>
      <w:rFonts w:ascii="宋体"/>
      <w:i/>
      <w:color w:val="404040"/>
    </w:rPr>
  </w:style>
  <w:style w:type="paragraph" w:styleId="9">
    <w:name w:val="Plain Text"/>
    <w:basedOn w:val="1"/>
    <w:autoRedefine/>
    <w:qFormat/>
    <w:uiPriority w:val="0"/>
    <w:rPr>
      <w:rFonts w:ascii="宋体" w:hAnsi="Courier New"/>
    </w:rPr>
  </w:style>
  <w:style w:type="paragraph" w:styleId="10">
    <w:name w:val="footer"/>
    <w:autoRedefine/>
    <w:qFormat/>
    <w:uiPriority w:val="99"/>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11">
    <w:name w:val="toc 1"/>
    <w:basedOn w:val="1"/>
    <w:next w:val="1"/>
    <w:autoRedefine/>
    <w:qFormat/>
    <w:uiPriority w:val="39"/>
    <w:pPr>
      <w:widowControl w:val="0"/>
      <w:spacing w:line="480" w:lineRule="auto"/>
    </w:pPr>
    <w:rPr>
      <w:rFonts w:ascii="等线 Light" w:hAnsi="Times New Roman" w:eastAsia="黑体" w:cs="Times New Roman"/>
      <w:bCs/>
      <w:caps/>
      <w:kern w:val="2"/>
      <w:sz w:val="30"/>
      <w:szCs w:val="24"/>
      <w:lang w:val="en-US" w:eastAsia="zh-CN" w:bidi="ar-SA"/>
    </w:rPr>
  </w:style>
  <w:style w:type="paragraph" w:styleId="12">
    <w:name w:val="Normal (Web)"/>
    <w:basedOn w:val="1"/>
    <w:autoRedefine/>
    <w:qFormat/>
    <w:uiPriority w:val="0"/>
    <w:pPr>
      <w:spacing w:beforeAutospacing="1" w:afterAutospacing="1"/>
      <w:jc w:val="left"/>
    </w:pPr>
    <w:rPr>
      <w:rFonts w:cs="Times New Roman"/>
      <w:kern w:val="0"/>
      <w:sz w:val="24"/>
    </w:rPr>
  </w:style>
  <w:style w:type="paragraph" w:styleId="13">
    <w:name w:val="Body Text First Indent"/>
    <w:basedOn w:val="6"/>
    <w:qFormat/>
    <w:uiPriority w:val="0"/>
    <w:pPr>
      <w:ind w:firstLine="420" w:firstLineChars="100"/>
    </w:pPr>
  </w:style>
  <w:style w:type="table" w:styleId="15">
    <w:name w:val="Table Grid"/>
    <w:basedOn w:val="14"/>
    <w:autoRedefine/>
    <w:unhideWhenUsed/>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page number"/>
    <w:autoRedefine/>
    <w:qFormat/>
    <w:uiPriority w:val="0"/>
  </w:style>
  <w:style w:type="character" w:styleId="19">
    <w:name w:val="Hyperlink"/>
    <w:autoRedefine/>
    <w:qFormat/>
    <w:uiPriority w:val="99"/>
    <w:rPr>
      <w:color w:val="0000FF"/>
      <w:u w:val="single"/>
    </w:rPr>
  </w:style>
  <w:style w:type="paragraph" w:customStyle="1" w:styleId="20">
    <w:name w:val="正文缩进（大）"/>
    <w:autoRedefine/>
    <w:qFormat/>
    <w:uiPriority w:val="0"/>
    <w:pPr>
      <w:widowControl w:val="0"/>
      <w:spacing w:line="360" w:lineRule="auto"/>
      <w:ind w:right="480"/>
      <w:jc w:val="both"/>
    </w:pPr>
    <w:rPr>
      <w:rFonts w:ascii="Times New Roman" w:hAnsi="Times New Roman" w:eastAsia="宋体" w:cs="Times New Roman"/>
      <w:spacing w:val="22"/>
      <w:kern w:val="2"/>
      <w:sz w:val="32"/>
      <w:szCs w:val="32"/>
      <w:lang w:val="en-US" w:eastAsia="zh-CN" w:bidi="ar-SA"/>
    </w:rPr>
  </w:style>
  <w:style w:type="character" w:customStyle="1" w:styleId="21">
    <w:name w:val="正文缩进 字符"/>
    <w:link w:val="4"/>
    <w:autoRedefine/>
    <w:qFormat/>
    <w:uiPriority w:val="0"/>
    <w:rPr>
      <w:rFonts w:ascii="Times New Roman" w:hAnsi="Times New Roman" w:eastAsia="宋体" w:cs="Times New Roman"/>
      <w:kern w:val="2"/>
      <w:sz w:val="24"/>
      <w:szCs w:val="24"/>
    </w:rPr>
  </w:style>
  <w:style w:type="paragraph" w:styleId="22">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3549</Words>
  <Characters>3673</Characters>
  <Lines>13</Lines>
  <Paragraphs>3</Paragraphs>
  <TotalTime>4</TotalTime>
  <ScaleCrop>false</ScaleCrop>
  <LinksUpToDate>false</LinksUpToDate>
  <CharactersWithSpaces>3707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2023-08-18T08:58:00Z</dcterms:created>
  <dc:creator>博</dc:creator>
  <cp:lastModifiedBy>澜～億</cp:lastModifiedBy>
  <dcterms:modified xsi:type="dcterms:W3CDTF">2026-07-13T06:31:00Z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CE7748162FCF49A49CCDCDB916EF08C2_13</vt:lpwstr>
  </property>
  <property fmtid="{D5CDD505-2E9C-101B-9397-08002B2CF9AE}" pid="4" name="KSOTemplateDocerSaveRecord">
    <vt:lpwstr>eyJoZGlkIjoiYmVhZjUwMThhYzg0YThmMjNlMGYyYjE3NmY0MDAwY2EiLCJ1c2VySWQiOiIzODk0MDQ1MzUifQ==</vt:lpwstr>
  </property>
</Properties>
</file>