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lang w:val="en-US" w:eastAsia="zh-CN"/>
        </w:rPr>
        <w:t>赤峰市妇幼保健院医疗设备维保服务项目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06</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24EAC204">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32CA3B9F">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（一）维保对象：</w:t>
      </w:r>
    </w:p>
    <w:p w14:paraId="7A5051D3">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1.7台超声技术保（含2000元以内配件）</w:t>
      </w:r>
    </w:p>
    <w:p w14:paraId="4B4002BC">
      <w:pPr>
        <w:rPr>
          <w:rFonts w:hint="eastAsia"/>
          <w:lang w:val="en-US" w:eastAsia="zh-CN"/>
        </w:rPr>
      </w:pPr>
      <w:r>
        <w:rPr>
          <w:rFonts w:hint="default" w:eastAsia="宋体"/>
          <w:sz w:val="28"/>
          <w:szCs w:val="28"/>
          <w:lang w:val="en-US" w:eastAsia="zh-CN"/>
        </w:rPr>
        <w:drawing>
          <wp:inline distT="0" distB="0" distL="114300" distR="114300">
            <wp:extent cx="6184900" cy="1637665"/>
            <wp:effectExtent l="0" t="0" r="2540" b="8255"/>
            <wp:docPr id="15" name="图片 1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
                    <pic:cNvPicPr>
                      <a:picLocks noChangeAspect="1"/>
                    </pic:cNvPicPr>
                  </pic:nvPicPr>
                  <pic:blipFill>
                    <a:blip r:embed="rId5"/>
                    <a:stretch>
                      <a:fillRect/>
                    </a:stretch>
                  </pic:blipFill>
                  <pic:spPr>
                    <a:xfrm>
                      <a:off x="0" y="0"/>
                      <a:ext cx="6184900" cy="1637665"/>
                    </a:xfrm>
                    <a:prstGeom prst="rect">
                      <a:avLst/>
                    </a:prstGeom>
                  </pic:spPr>
                </pic:pic>
              </a:graphicData>
            </a:graphic>
          </wp:inline>
        </w:drawing>
      </w:r>
    </w:p>
    <w:p w14:paraId="085587BA">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2.4台放射类设备技术保（含2000元以内配件）</w:t>
      </w:r>
    </w:p>
    <w:tbl>
      <w:tblPr>
        <w:tblStyle w:val="14"/>
        <w:tblW w:w="954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41"/>
        <w:gridCol w:w="2730"/>
        <w:gridCol w:w="2175"/>
      </w:tblGrid>
      <w:tr w14:paraId="6429A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7BCC3">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资产名称</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2C43C">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规格型号</w:t>
            </w: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EAB64">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开始使用日期</w:t>
            </w:r>
          </w:p>
        </w:tc>
      </w:tr>
      <w:tr w14:paraId="57632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030E5D">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万东X光机</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B7B1CA">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万东F52—8C  500MA</w:t>
            </w: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03D3FF">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2012-03-23</w:t>
            </w:r>
          </w:p>
        </w:tc>
      </w:tr>
      <w:tr w14:paraId="36D5F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223EE1">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数字钼靶乳腺机、X线成像系统</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155E39">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Luna-Exp</w:t>
            </w: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6FF508">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2017-12-30</w:t>
            </w:r>
          </w:p>
        </w:tc>
      </w:tr>
      <w:tr w14:paraId="1F9FD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3EACA3">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牙片X线机（放射线）</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1F7AE6">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RAY68(M)</w:t>
            </w: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4E660A">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2022-09-30</w:t>
            </w:r>
          </w:p>
        </w:tc>
      </w:tr>
      <w:tr w14:paraId="7DE33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D665B9">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X射线计体层摄影设备</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0834D9">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SOMATOMgo.Fit</w:t>
            </w: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1C3B0C">
            <w:pPr>
              <w:keepNext w:val="0"/>
              <w:keepLines w:val="0"/>
              <w:widowControl/>
              <w:suppressLineNumbers w:val="0"/>
              <w:jc w:val="left"/>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2024-12-31</w:t>
            </w:r>
          </w:p>
        </w:tc>
      </w:tr>
    </w:tbl>
    <w:p w14:paraId="0D43E429">
      <w:pPr>
        <w:rPr>
          <w:rFonts w:hint="eastAsia"/>
          <w:lang w:val="en-US" w:eastAsia="zh-CN"/>
        </w:rPr>
      </w:pPr>
    </w:p>
    <w:p w14:paraId="7EE7D776">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（二）维保内容:</w:t>
      </w:r>
    </w:p>
    <w:p w14:paraId="288365EA">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1.11台设备技术保(包含2000元以内配件），生成pm计划定期巡检，保养(不含保养耗材)全年不限人工次数，24小时随时位，报修时间1小时≤到场，当地有备件库优先提供备件供应，每次维修生成维修单，存档保留，每季度出具一份维修工作总结。</w:t>
      </w:r>
    </w:p>
    <w:p w14:paraId="7D19F0FA">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2.CT要求</w:t>
      </w:r>
    </w:p>
    <w:p w14:paraId="0FA4C02A">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2.1 碳刷的维护或更换。(6个月一次)</w:t>
      </w:r>
    </w:p>
    <w:p w14:paraId="3D46F083">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2.2床、机架等关键部位的维护保养（润滑点润滑）（6个月1次）</w:t>
      </w:r>
    </w:p>
    <w:p w14:paraId="3E609D96">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2.3计算机系统备份、除尘保养(6个月一次)</w:t>
      </w:r>
    </w:p>
    <w:p w14:paraId="2E72B6C5">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2.4软件校准、参数校准（严格按照原厂设备维护手册进行）(6个月一次)</w:t>
      </w:r>
    </w:p>
    <w:p w14:paraId="31559DB5">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DR</w:t>
      </w:r>
    </w:p>
    <w:p w14:paraId="4928BA40">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3.1进行球管校准(6个月一次)</w:t>
      </w:r>
    </w:p>
    <w:p w14:paraId="7E822E4C">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3.2计算机系统备份、除尘保养(6个月一次)</w:t>
      </w:r>
    </w:p>
    <w:p w14:paraId="1FE49C83">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3.3设备关键点位维护保养（（润滑点润滑）(6个月一次)</w:t>
      </w:r>
    </w:p>
    <w:p w14:paraId="7047DEA6">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钼靶</w:t>
      </w:r>
    </w:p>
    <w:p w14:paraId="6E9338B4">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4.1进行球管校准</w:t>
      </w:r>
    </w:p>
    <w:p w14:paraId="09529746">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4.2计算机系统备份、除尘保养(6个月一次)</w:t>
      </w:r>
    </w:p>
    <w:p w14:paraId="6B591660">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4.3设备关键点位维护保养（润滑点润滑）(6个月一次)</w:t>
      </w:r>
    </w:p>
    <w:p w14:paraId="4D3A96AC">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4.4软件校准、参数校准（严格按照原厂设备维护手册进行）(6个月一次)</w:t>
      </w:r>
    </w:p>
    <w:p w14:paraId="4FAE47F8">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牙片机</w:t>
      </w:r>
    </w:p>
    <w:p w14:paraId="4DC53CEB">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5.1计算机系统备份、除尘保养(6个月一次)</w:t>
      </w:r>
    </w:p>
    <w:p w14:paraId="5B9D2B03">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5.2设备关键点位维护保养（（润滑点润滑）(6个月一次)</w:t>
      </w:r>
    </w:p>
    <w:p w14:paraId="31D0982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5.3软件校准、参数校准（严格按照原厂设备维护手册进行）(6个月一次)</w:t>
      </w:r>
    </w:p>
    <w:p w14:paraId="7B6DABCA">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超声（7台）</w:t>
      </w:r>
    </w:p>
    <w:p w14:paraId="4C0D5411">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6.1设备内部保养（主板等关键部位除尘、清灰）（3个月一次）</w:t>
      </w:r>
    </w:p>
    <w:p w14:paraId="44EBCF88">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6.2系统备份（3个月一次）</w:t>
      </w:r>
    </w:p>
    <w:p w14:paraId="4696203B">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6.3探头维护保养（3个月一次）</w:t>
      </w:r>
    </w:p>
    <w:p w14:paraId="35A0ABC8">
      <w:pPr>
        <w:numPr>
          <w:ilvl w:val="0"/>
          <w:numId w:val="0"/>
        </w:numPr>
        <w:ind w:firstLine="600" w:firstLineChars="200"/>
        <w:rPr>
          <w:rFonts w:hint="eastAsia" w:ascii="楷体" w:hAnsi="楷体" w:eastAsia="楷体" w:cs="楷体"/>
          <w:sz w:val="30"/>
          <w:szCs w:val="30"/>
          <w:lang w:val="en-US" w:eastAsia="zh-CN"/>
        </w:rPr>
      </w:pPr>
      <w:r>
        <w:rPr>
          <w:rFonts w:hint="eastAsia" w:ascii="楷体" w:hAnsi="楷体" w:eastAsia="楷体" w:cs="楷体"/>
          <w:sz w:val="30"/>
          <w:szCs w:val="30"/>
          <w:lang w:val="en-US" w:eastAsia="zh-CN"/>
        </w:rPr>
        <w:t>（三）付款方式：合同签订后 付款维保总金额的30%，维保待满半年后，付款总维保总金额的60%。剩余10%待期满后，双方对服务无异议后支付。</w:t>
      </w:r>
    </w:p>
    <w:p w14:paraId="56D41A7E">
      <w:pPr>
        <w:numPr>
          <w:ilvl w:val="0"/>
          <w:numId w:val="0"/>
        </w:numPr>
        <w:rPr>
          <w:rFonts w:hint="eastAsia" w:ascii="仿宋" w:hAnsi="仿宋" w:eastAsia="仿宋" w:cs="仿宋"/>
          <w:sz w:val="30"/>
          <w:szCs w:val="30"/>
          <w:lang w:val="en-US" w:eastAsia="zh-CN"/>
        </w:rPr>
      </w:pPr>
    </w:p>
    <w:p w14:paraId="2B556606">
      <w:pPr>
        <w:numPr>
          <w:ilvl w:val="0"/>
          <w:numId w:val="0"/>
        </w:numPr>
        <w:rPr>
          <w:rFonts w:hint="eastAsia" w:ascii="仿宋" w:hAnsi="仿宋" w:eastAsia="仿宋" w:cs="仿宋"/>
          <w:sz w:val="30"/>
          <w:szCs w:val="30"/>
          <w:lang w:val="en-US" w:eastAsia="zh-CN"/>
        </w:rPr>
      </w:pPr>
    </w:p>
    <w:p w14:paraId="36496BBF">
      <w:pPr>
        <w:numPr>
          <w:ilvl w:val="0"/>
          <w:numId w:val="0"/>
        </w:numPr>
        <w:rPr>
          <w:rFonts w:hint="eastAsia" w:ascii="仿宋" w:hAnsi="仿宋" w:eastAsia="仿宋" w:cs="仿宋"/>
          <w:sz w:val="30"/>
          <w:szCs w:val="30"/>
          <w:lang w:val="en-US" w:eastAsia="zh-CN"/>
        </w:rPr>
      </w:pPr>
    </w:p>
    <w:p w14:paraId="5D0EB365">
      <w:pPr>
        <w:numPr>
          <w:ilvl w:val="0"/>
          <w:numId w:val="0"/>
        </w:numPr>
        <w:rPr>
          <w:rFonts w:hint="eastAsia" w:ascii="仿宋" w:hAnsi="仿宋" w:eastAsia="仿宋" w:cs="仿宋"/>
          <w:sz w:val="30"/>
          <w:szCs w:val="30"/>
          <w:lang w:val="en-US" w:eastAsia="zh-CN"/>
        </w:rPr>
      </w:pPr>
    </w:p>
    <w:p w14:paraId="6E1AE43C">
      <w:pPr>
        <w:ind w:firstLine="640" w:firstLineChars="200"/>
        <w:rPr>
          <w:rFonts w:hint="eastAsia" w:ascii="仿宋" w:hAnsi="仿宋" w:eastAsia="仿宋" w:cs="仿宋"/>
          <w:sz w:val="32"/>
          <w:szCs w:val="32"/>
        </w:rPr>
        <w:sectPr>
          <w:type w:val="continuous"/>
          <w:pgSz w:w="11906" w:h="16838"/>
          <w:pgMar w:top="1440" w:right="1066" w:bottom="1293" w:left="1800" w:header="851" w:footer="992" w:gutter="0"/>
          <w:pgNumType w:fmt="numberInDash"/>
          <w:cols w:space="425" w:num="1"/>
          <w:docGrid w:type="lines" w:linePitch="312" w:charSpace="0"/>
        </w:sectPr>
      </w:pP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4"/>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2"/>
        <w:tabs>
          <w:tab w:val="left" w:pos="769"/>
        </w:tabs>
        <w:spacing w:line="360" w:lineRule="auto"/>
        <w:ind w:firstLine="0" w:firstLineChars="0"/>
        <w:rPr>
          <w:rFonts w:hint="eastAsia" w:eastAsia="宋体"/>
          <w:color w:val="auto"/>
          <w:sz w:val="24"/>
          <w:szCs w:val="24"/>
          <w:highlight w:val="none"/>
        </w:rPr>
      </w:pPr>
    </w:p>
    <w:p w14:paraId="6EE3EA83">
      <w:pPr>
        <w:pStyle w:val="22"/>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2"/>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2"/>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rPr>
          <w:rFonts w:hint="default"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赤峰市妇幼保健院医疗设备维保服务项目</w:t>
      </w:r>
    </w:p>
    <w:tbl>
      <w:tblPr>
        <w:tblStyle w:val="15"/>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lang w:val="en-US" w:eastAsia="zh-CN"/>
              </w:rPr>
            </w:pPr>
            <w:r>
              <w:rPr>
                <w:rFonts w:hint="default"/>
                <w:lang w:val="en-US" w:eastAsia="zh-CN"/>
              </w:rPr>
              <w:t>赤峰市妇幼保健院医疗设备维保服务项目</w:t>
            </w:r>
          </w:p>
        </w:tc>
        <w:tc>
          <w:tcPr>
            <w:tcW w:w="1746" w:type="dxa"/>
            <w:vAlign w:val="center"/>
          </w:tcPr>
          <w:p w14:paraId="2DEDC553">
            <w:pPr>
              <w:jc w:val="center"/>
              <w:rPr>
                <w:rFonts w:hint="default"/>
                <w:lang w:val="en-US" w:eastAsia="zh-CN"/>
              </w:rPr>
            </w:pPr>
            <w:r>
              <w:rPr>
                <w:rFonts w:hint="eastAsia"/>
                <w:lang w:val="en-US" w:eastAsia="zh-CN"/>
              </w:rPr>
              <w:t>190000/年</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bookmarkStart w:id="0" w:name="_GoBack"/>
            <w:bookmarkEnd w:id="0"/>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1137517F">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4"/>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3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3"/>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AF150F"/>
    <w:rsid w:val="36ED4BFB"/>
    <w:rsid w:val="3724642A"/>
    <w:rsid w:val="375A4E1C"/>
    <w:rsid w:val="3D223AD0"/>
    <w:rsid w:val="3D620704"/>
    <w:rsid w:val="3F9A24C3"/>
    <w:rsid w:val="40BF0639"/>
    <w:rsid w:val="42772083"/>
    <w:rsid w:val="43BC51DB"/>
    <w:rsid w:val="44983FC9"/>
    <w:rsid w:val="44B953D3"/>
    <w:rsid w:val="46E2098A"/>
    <w:rsid w:val="47755DE3"/>
    <w:rsid w:val="487E65E2"/>
    <w:rsid w:val="4B5160DF"/>
    <w:rsid w:val="4BF26F96"/>
    <w:rsid w:val="4D957C46"/>
    <w:rsid w:val="4E183B5F"/>
    <w:rsid w:val="52791558"/>
    <w:rsid w:val="52F67C97"/>
    <w:rsid w:val="55C776C9"/>
    <w:rsid w:val="57811AFA"/>
    <w:rsid w:val="59105CF4"/>
    <w:rsid w:val="59B37CF5"/>
    <w:rsid w:val="5B064C80"/>
    <w:rsid w:val="5B0C652F"/>
    <w:rsid w:val="5BBD056E"/>
    <w:rsid w:val="5BEF7A26"/>
    <w:rsid w:val="5DF91422"/>
    <w:rsid w:val="5EAD348F"/>
    <w:rsid w:val="5F444319"/>
    <w:rsid w:val="606D5884"/>
    <w:rsid w:val="60F90F48"/>
    <w:rsid w:val="616E1AD4"/>
    <w:rsid w:val="619C6F40"/>
    <w:rsid w:val="61D429F9"/>
    <w:rsid w:val="63B20CCB"/>
    <w:rsid w:val="642F4DB7"/>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1"/>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footnote text"/>
    <w:basedOn w:val="1"/>
    <w:qFormat/>
    <w:uiPriority w:val="0"/>
    <w:pPr>
      <w:snapToGrid w:val="0"/>
      <w:jc w:val="left"/>
    </w:pPr>
    <w:rPr>
      <w:sz w:val="18"/>
    </w:rPr>
  </w:style>
  <w:style w:type="paragraph" w:styleId="12">
    <w:name w:val="Normal (Web)"/>
    <w:basedOn w:val="1"/>
    <w:autoRedefine/>
    <w:qFormat/>
    <w:uiPriority w:val="0"/>
    <w:pPr>
      <w:spacing w:beforeAutospacing="1" w:afterAutospacing="1"/>
      <w:jc w:val="left"/>
    </w:pPr>
    <w:rPr>
      <w:rFonts w:cs="Times New Roman"/>
      <w:kern w:val="0"/>
      <w:sz w:val="24"/>
    </w:rPr>
  </w:style>
  <w:style w:type="paragraph" w:styleId="13">
    <w:name w:val="Body Text First Indent"/>
    <w:basedOn w:val="5"/>
    <w:qFormat/>
    <w:uiPriority w:val="0"/>
    <w:pPr>
      <w:ind w:firstLine="420" w:firstLineChars="100"/>
    </w:pPr>
  </w:style>
  <w:style w:type="table" w:styleId="15">
    <w:name w:val="Table Grid"/>
    <w:basedOn w:val="14"/>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page number"/>
    <w:autoRedefine/>
    <w:qFormat/>
    <w:uiPriority w:val="0"/>
  </w:style>
  <w:style w:type="character" w:styleId="19">
    <w:name w:val="Hyperlink"/>
    <w:autoRedefine/>
    <w:qFormat/>
    <w:uiPriority w:val="99"/>
    <w:rPr>
      <w:color w:val="0000FF"/>
      <w:u w:val="single"/>
    </w:rPr>
  </w:style>
  <w:style w:type="paragraph" w:customStyle="1" w:styleId="20">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1">
    <w:name w:val="正文缩进 字符"/>
    <w:link w:val="3"/>
    <w:autoRedefine/>
    <w:qFormat/>
    <w:uiPriority w:val="0"/>
    <w:rPr>
      <w:rFonts w:ascii="Times New Roman" w:hAnsi="Times New Roman" w:eastAsia="宋体" w:cs="Times New Roman"/>
      <w:kern w:val="2"/>
      <w:sz w:val="24"/>
      <w:szCs w:val="24"/>
    </w:rPr>
  </w:style>
  <w:style w:type="paragraph" w:styleId="22">
    <w:name w:val="List Paragraph"/>
    <w:basedOn w:val="1"/>
    <w:autoRedefine/>
    <w:qFormat/>
    <w:uiPriority w:val="34"/>
    <w:pPr>
      <w:ind w:firstLine="420" w:firstLineChars="200"/>
    </w:pPr>
  </w:style>
  <w:style w:type="paragraph" w:customStyle="1" w:styleId="23">
    <w:name w:val="列表段落"/>
    <w:basedOn w:val="1"/>
    <w:qFormat/>
    <w:uiPriority w:val="34"/>
    <w:pPr>
      <w:ind w:left="720"/>
      <w:contextualSpacing/>
    </w:pPr>
    <w:rPr>
      <w:rFonts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2808</Words>
  <Characters>2896</Characters>
  <Lines>13</Lines>
  <Paragraphs>3</Paragraphs>
  <TotalTime>2</TotalTime>
  <ScaleCrop>false</ScaleCrop>
  <LinksUpToDate>false</LinksUpToDate>
  <CharactersWithSpaces>3403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2026-06-01T03:08:16Z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